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4531"/>
        <w:gridCol w:w="9781"/>
      </w:tblGrid>
      <w:tr w:rsidR="008069D6" w:rsidTr="005067F1">
        <w:trPr>
          <w:trHeight w:val="699"/>
        </w:trPr>
        <w:tc>
          <w:tcPr>
            <w:tcW w:w="14312" w:type="dxa"/>
            <w:gridSpan w:val="2"/>
            <w:shd w:val="clear" w:color="auto" w:fill="0ACAD4"/>
          </w:tcPr>
          <w:p w:rsidR="008069D6" w:rsidRPr="00CB3103" w:rsidRDefault="008069D6" w:rsidP="002C4541">
            <w:pPr>
              <w:spacing w:before="240"/>
              <w:rPr>
                <w:color w:val="000000"/>
                <w:sz w:val="28"/>
                <w:szCs w:val="28"/>
              </w:rPr>
            </w:pPr>
            <w:r w:rsidRPr="00CB3103">
              <w:rPr>
                <w:color w:val="FFFFFF" w:themeColor="background1"/>
                <w:sz w:val="28"/>
                <w:szCs w:val="28"/>
              </w:rPr>
              <w:t>BAREME TTC d’honoraires des Ventes</w:t>
            </w:r>
          </w:p>
        </w:tc>
      </w:tr>
      <w:tr w:rsidR="008069D6" w:rsidTr="00EF2B56">
        <w:trPr>
          <w:trHeight w:val="832"/>
        </w:trPr>
        <w:tc>
          <w:tcPr>
            <w:tcW w:w="14312" w:type="dxa"/>
            <w:gridSpan w:val="2"/>
          </w:tcPr>
          <w:p w:rsidR="008069D6" w:rsidRPr="002C4541" w:rsidRDefault="008069D6" w:rsidP="002C4541">
            <w:pPr>
              <w:spacing w:before="240"/>
              <w:rPr>
                <w:sz w:val="28"/>
                <w:szCs w:val="28"/>
              </w:rPr>
            </w:pPr>
            <w:r w:rsidRPr="002C4541">
              <w:rPr>
                <w:sz w:val="28"/>
                <w:szCs w:val="28"/>
              </w:rPr>
              <w:t>Chaque agence est juridiquement indépendante et applique sa propre grille d’honoraires.</w:t>
            </w:r>
          </w:p>
          <w:p w:rsidR="008069D6" w:rsidRPr="002C4541" w:rsidRDefault="008069D6" w:rsidP="00D65005">
            <w:pPr>
              <w:spacing w:before="240"/>
              <w:jc w:val="center"/>
              <w:rPr>
                <w:sz w:val="28"/>
                <w:szCs w:val="28"/>
              </w:rPr>
            </w:pPr>
            <w:bookmarkStart w:id="0" w:name="_GoBack"/>
            <w:r w:rsidRPr="002C4541">
              <w:rPr>
                <w:sz w:val="28"/>
                <w:szCs w:val="28"/>
              </w:rPr>
              <w:t xml:space="preserve">SARL </w:t>
            </w:r>
            <w:r w:rsidR="005574B7">
              <w:rPr>
                <w:sz w:val="28"/>
                <w:szCs w:val="28"/>
              </w:rPr>
              <w:t xml:space="preserve">IMMOBILIERE DU </w:t>
            </w:r>
            <w:r w:rsidRPr="002C4541">
              <w:rPr>
                <w:sz w:val="28"/>
                <w:szCs w:val="28"/>
              </w:rPr>
              <w:t>ROY RENE SIREN 750 241 259</w:t>
            </w:r>
            <w:r w:rsidR="005574B7">
              <w:rPr>
                <w:sz w:val="28"/>
                <w:szCs w:val="28"/>
              </w:rPr>
              <w:t> </w:t>
            </w:r>
            <w:r w:rsidRPr="002C4541">
              <w:rPr>
                <w:sz w:val="28"/>
                <w:szCs w:val="28"/>
              </w:rPr>
              <w:t>000</w:t>
            </w:r>
            <w:r w:rsidR="005574B7">
              <w:rPr>
                <w:sz w:val="28"/>
                <w:szCs w:val="28"/>
              </w:rPr>
              <w:t>19</w:t>
            </w:r>
          </w:p>
          <w:bookmarkEnd w:id="0"/>
          <w:p w:rsidR="002C4541" w:rsidRDefault="002C4541" w:rsidP="002C4541">
            <w:pPr>
              <w:spacing w:before="240"/>
            </w:pPr>
          </w:p>
        </w:tc>
      </w:tr>
      <w:tr w:rsidR="008069D6" w:rsidTr="005067F1">
        <w:tc>
          <w:tcPr>
            <w:tcW w:w="4531" w:type="dxa"/>
            <w:shd w:val="clear" w:color="auto" w:fill="0ACAD4"/>
          </w:tcPr>
          <w:p w:rsidR="008069D6" w:rsidRPr="00EF2B56" w:rsidRDefault="008069D6" w:rsidP="002C4541">
            <w:pPr>
              <w:spacing w:line="360" w:lineRule="auto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Prix net vendeur</w:t>
            </w:r>
          </w:p>
        </w:tc>
        <w:tc>
          <w:tcPr>
            <w:tcW w:w="9781" w:type="dxa"/>
            <w:shd w:val="clear" w:color="auto" w:fill="0ACAD4"/>
          </w:tcPr>
          <w:p w:rsidR="008069D6" w:rsidRPr="00EF2B56" w:rsidRDefault="002C4541" w:rsidP="002C4541">
            <w:pPr>
              <w:spacing w:line="360" w:lineRule="auto"/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</w:pPr>
            <w:r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H</w:t>
            </w:r>
            <w:r w:rsidR="008069D6" w:rsidRPr="00EF2B56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onoraires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Jusqu’à 99 000 €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5 000 €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100 000 € à 150 000 €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6.5 %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150 001 € à 200 000 €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6 %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200 001 € à 300 000 €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300 001 € à 350 000 €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5 %</w:t>
            </w:r>
          </w:p>
        </w:tc>
      </w:tr>
      <w:tr w:rsidR="008069D6" w:rsidTr="00EF2B56">
        <w:tc>
          <w:tcPr>
            <w:tcW w:w="453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De 350 001 € à 400 000 €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4.5 %</w:t>
            </w:r>
          </w:p>
        </w:tc>
      </w:tr>
      <w:tr w:rsidR="008069D6" w:rsidTr="00EF2B56">
        <w:tc>
          <w:tcPr>
            <w:tcW w:w="453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 xml:space="preserve">400 001 € et plus 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4 %</w:t>
            </w:r>
          </w:p>
        </w:tc>
      </w:tr>
      <w:tr w:rsidR="008069D6" w:rsidTr="005067F1">
        <w:tc>
          <w:tcPr>
            <w:tcW w:w="4531" w:type="dxa"/>
            <w:shd w:val="clear" w:color="auto" w:fill="0ACAD4"/>
          </w:tcPr>
          <w:p w:rsidR="008069D6" w:rsidRPr="00EF2B56" w:rsidRDefault="002C4541" w:rsidP="00B377FF">
            <w:pPr>
              <w:tabs>
                <w:tab w:val="left" w:pos="3480"/>
              </w:tabs>
              <w:spacing w:after="160" w:line="259" w:lineRule="auto"/>
              <w:rPr>
                <w:b/>
                <w:sz w:val="28"/>
                <w:szCs w:val="28"/>
                <w:u w:val="single"/>
              </w:rPr>
            </w:pPr>
            <w:r w:rsidRPr="00EF2B56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Locaux commerciaux </w:t>
            </w:r>
          </w:p>
        </w:tc>
        <w:tc>
          <w:tcPr>
            <w:tcW w:w="9781" w:type="dxa"/>
          </w:tcPr>
          <w:p w:rsidR="008069D6" w:rsidRPr="00EF2B56" w:rsidRDefault="002C4541" w:rsidP="002C4541">
            <w:pPr>
              <w:spacing w:line="360" w:lineRule="auto"/>
              <w:rPr>
                <w:sz w:val="24"/>
                <w:szCs w:val="24"/>
              </w:rPr>
            </w:pPr>
            <w:r w:rsidRPr="00EF2B56">
              <w:rPr>
                <w:sz w:val="24"/>
                <w:szCs w:val="24"/>
              </w:rPr>
              <w:t>20 %</w:t>
            </w:r>
          </w:p>
        </w:tc>
      </w:tr>
    </w:tbl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77FF" w:rsidRDefault="00B377F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A4A" w:rsidRDefault="008F2A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2A4A" w:rsidRDefault="008F2A4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2B56" w:rsidRDefault="0013565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biens soumis à la loi N°89-462 du 6 Juillet 1989 tendant à améliorer les rapports locatifs et portant modification de la loi n°86-1290 du 23 Décembre 1986.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135659" w:rsidTr="00135659">
        <w:tc>
          <w:tcPr>
            <w:tcW w:w="5098" w:type="dxa"/>
          </w:tcPr>
          <w:p w:rsidR="00135659" w:rsidRDefault="00135659" w:rsidP="00135659">
            <w:pPr>
              <w:spacing w:after="160" w:line="259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PRESTATIONS</w:t>
            </w:r>
          </w:p>
        </w:tc>
        <w:tc>
          <w:tcPr>
            <w:tcW w:w="4231" w:type="dxa"/>
          </w:tcPr>
          <w:p w:rsidR="00135659" w:rsidRDefault="00135659" w:rsidP="00B377FF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zones tendues</w:t>
            </w:r>
          </w:p>
        </w:tc>
        <w:tc>
          <w:tcPr>
            <w:tcW w:w="4665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Tarifs hors zone tendues</w:t>
            </w:r>
          </w:p>
        </w:tc>
      </w:tr>
      <w:tr w:rsidR="00135659" w:rsidTr="00135659">
        <w:tc>
          <w:tcPr>
            <w:tcW w:w="5098" w:type="dxa"/>
          </w:tcPr>
          <w:p w:rsidR="00135659" w:rsidRDefault="0013565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Publicité, visites, constitution de dossier, et du bail</w:t>
            </w:r>
          </w:p>
        </w:tc>
        <w:tc>
          <w:tcPr>
            <w:tcW w:w="4231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10€ /m²</w:t>
            </w:r>
          </w:p>
        </w:tc>
        <w:tc>
          <w:tcPr>
            <w:tcW w:w="4665" w:type="dxa"/>
          </w:tcPr>
          <w:p w:rsidR="00135659" w:rsidRDefault="00135659" w:rsidP="00B377F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8€ /m²</w:t>
            </w:r>
          </w:p>
        </w:tc>
      </w:tr>
      <w:tr w:rsidR="00135659" w:rsidTr="00135659">
        <w:tc>
          <w:tcPr>
            <w:tcW w:w="5098" w:type="dxa"/>
          </w:tcPr>
          <w:p w:rsidR="00135659" w:rsidRDefault="008F2A4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13565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tats des Lieux d’entrée/sortie</w:t>
            </w:r>
          </w:p>
        </w:tc>
        <w:tc>
          <w:tcPr>
            <w:tcW w:w="4231" w:type="dxa"/>
          </w:tcPr>
          <w:p w:rsidR="00135659" w:rsidRPr="00135659" w:rsidRDefault="00B377FF" w:rsidP="00B377FF">
            <w:pPr>
              <w:jc w:val="center"/>
            </w:pPr>
            <w:r>
              <w:t>3€/m²</w:t>
            </w:r>
          </w:p>
        </w:tc>
        <w:tc>
          <w:tcPr>
            <w:tcW w:w="4665" w:type="dxa"/>
          </w:tcPr>
          <w:p w:rsidR="00135659" w:rsidRPr="00135659" w:rsidRDefault="00B377FF" w:rsidP="00B377FF">
            <w:pPr>
              <w:jc w:val="center"/>
            </w:pPr>
            <w:r>
              <w:t>3€/m²</w:t>
            </w:r>
          </w:p>
        </w:tc>
      </w:tr>
    </w:tbl>
    <w:p w:rsidR="00135659" w:rsidRDefault="00135659" w:rsidP="00135659"/>
    <w:p w:rsidR="00B377FF" w:rsidRDefault="00B377FF" w:rsidP="00B377FF">
      <w:pPr>
        <w:jc w:val="both"/>
      </w:pPr>
      <w:r>
        <w:t>Les honoraires sont dus par le propriétaire et le locataire lors de la signature du bail.</w:t>
      </w:r>
    </w:p>
    <w:p w:rsidR="00B377FF" w:rsidRDefault="00B377FF" w:rsidP="00B377FF">
      <w:pPr>
        <w:jc w:val="both"/>
      </w:pPr>
      <w:r>
        <w:t>La liste des communes situées en zone tendue est définie par le décret n°2013-392 du 10 Mai 2013 relatif au champ d’application de la taxe annuelle sur les logements vacants instituée par l’article 232 du code général des impôts.</w:t>
      </w:r>
    </w:p>
    <w:p w:rsidR="00B377FF" w:rsidRDefault="00B377FF" w:rsidP="00B377FF">
      <w:pPr>
        <w:jc w:val="both"/>
      </w:pPr>
      <w:r>
        <w:t xml:space="preserve">Pour les biens hors du champ de la loi du 6 juillet 1989 (locaux commerciaux, locaux professionnels, entrepôts, box, garage, </w:t>
      </w:r>
      <w:proofErr w:type="spellStart"/>
      <w:r>
        <w:t>etc</w:t>
      </w:r>
      <w:proofErr w:type="spellEnd"/>
      <w:r>
        <w:t>) Tarif / 10% TTC du loyer annuel hors taxe et hors charges.</w:t>
      </w:r>
    </w:p>
    <w:p w:rsidR="00B377FF" w:rsidRDefault="00B377FF" w:rsidP="00B377FF">
      <w:pPr>
        <w:jc w:val="both"/>
      </w:pPr>
      <w:r>
        <w:t>Les honoraires peuvent faire l’objet d’un partage entre propriétaire ou locataire ou être à la charge exclusive de l’une des parties.</w:t>
      </w:r>
    </w:p>
    <w:p w:rsidR="00B377FF" w:rsidRPr="00B377FF" w:rsidRDefault="00B377FF" w:rsidP="00B377FF">
      <w:pPr>
        <w:jc w:val="center"/>
        <w:rPr>
          <w:u w:val="single"/>
        </w:rPr>
      </w:pPr>
      <w:r w:rsidRPr="00B377FF">
        <w:rPr>
          <w:u w:val="single"/>
        </w:rPr>
        <w:t>HONORAIRES DE GESTION</w:t>
      </w:r>
    </w:p>
    <w:p w:rsidR="00B377FF" w:rsidRDefault="00B377FF" w:rsidP="00B377FF"/>
    <w:p w:rsidR="00B377FF" w:rsidRDefault="00B377FF" w:rsidP="00B377FF">
      <w:r>
        <w:t xml:space="preserve">Pour tout type de Biens, </w:t>
      </w:r>
    </w:p>
    <w:p w:rsidR="00B377FF" w:rsidRPr="00B377FF" w:rsidRDefault="00B377FF" w:rsidP="00B377FF">
      <w:pPr>
        <w:jc w:val="center"/>
        <w:rPr>
          <w:b/>
        </w:rPr>
      </w:pPr>
      <w:r w:rsidRPr="00B377FF">
        <w:rPr>
          <w:b/>
        </w:rPr>
        <w:t>Tarif gestion locative : 6,5% TTC du loyer Hors charges</w:t>
      </w:r>
    </w:p>
    <w:p w:rsidR="00B377FF" w:rsidRDefault="00B377FF" w:rsidP="00B377FF">
      <w:pPr>
        <w:jc w:val="both"/>
      </w:pPr>
      <w:r>
        <w:t>Pour les biens soumis à la loi n°89-462 du 6 Juillet 1989 tendant à améliorer les rapports locatifs et portant modification de la loi n°86-1290 du 23 Décembre 1986 :</w:t>
      </w:r>
    </w:p>
    <w:p w:rsidR="00B377FF" w:rsidRDefault="00B377FF" w:rsidP="00B377FF">
      <w:pPr>
        <w:jc w:val="center"/>
      </w:pPr>
      <w:r w:rsidRPr="00B377FF">
        <w:rPr>
          <w:b/>
        </w:rPr>
        <w:t>Tarif assurance loyers impayés :2,4% TTC des sommes encaissées</w:t>
      </w:r>
      <w:r>
        <w:t>.</w:t>
      </w:r>
    </w:p>
    <w:p w:rsidR="00B377FF" w:rsidRPr="00135659" w:rsidRDefault="00B377FF" w:rsidP="00135659"/>
    <w:p w:rsidR="00EF2B56" w:rsidRPr="002C4541" w:rsidRDefault="00EF2B56">
      <w:pPr>
        <w:rPr>
          <w:color w:val="FFFFFF" w:themeColor="background1"/>
        </w:rPr>
      </w:pPr>
    </w:p>
    <w:sectPr w:rsidR="00EF2B56" w:rsidRPr="002C4541" w:rsidSect="002C454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E3" w:rsidRDefault="00AF70E3" w:rsidP="002C4541">
      <w:pPr>
        <w:spacing w:after="0" w:line="240" w:lineRule="auto"/>
      </w:pPr>
      <w:r>
        <w:separator/>
      </w:r>
    </w:p>
  </w:endnote>
  <w:endnote w:type="continuationSeparator" w:id="0">
    <w:p w:rsidR="00AF70E3" w:rsidRDefault="00AF70E3" w:rsidP="002C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E3" w:rsidRDefault="00AF70E3" w:rsidP="002C4541">
      <w:pPr>
        <w:spacing w:after="0" w:line="240" w:lineRule="auto"/>
      </w:pPr>
      <w:r>
        <w:separator/>
      </w:r>
    </w:p>
  </w:footnote>
  <w:footnote w:type="continuationSeparator" w:id="0">
    <w:p w:rsidR="00AF70E3" w:rsidRDefault="00AF70E3" w:rsidP="002C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41" w:rsidRPr="00EF2B56" w:rsidRDefault="002C4541" w:rsidP="002C4541">
    <w:pPr>
      <w:pStyle w:val="En-tte"/>
      <w:jc w:val="center"/>
      <w:rPr>
        <w:sz w:val="32"/>
        <w:szCs w:val="32"/>
        <w:u w:val="single"/>
      </w:rPr>
    </w:pPr>
    <w:r w:rsidRPr="00EF2B56">
      <w:rPr>
        <w:sz w:val="32"/>
        <w:szCs w:val="32"/>
        <w:u w:val="single"/>
      </w:rPr>
      <w:t>LES HONORAIRES DE NOTRE AGENCE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D6"/>
    <w:rsid w:val="00135659"/>
    <w:rsid w:val="002C4541"/>
    <w:rsid w:val="00352AB5"/>
    <w:rsid w:val="005067F1"/>
    <w:rsid w:val="005574B7"/>
    <w:rsid w:val="007502F0"/>
    <w:rsid w:val="008069D6"/>
    <w:rsid w:val="00864324"/>
    <w:rsid w:val="0089001F"/>
    <w:rsid w:val="008F2A4A"/>
    <w:rsid w:val="00AF70E3"/>
    <w:rsid w:val="00B377FF"/>
    <w:rsid w:val="00CB3103"/>
    <w:rsid w:val="00D13BAC"/>
    <w:rsid w:val="00D65005"/>
    <w:rsid w:val="00E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F4BE"/>
  <w15:chartTrackingRefBased/>
  <w15:docId w15:val="{2B8E2237-4C34-40EE-8FB6-429C893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41"/>
  </w:style>
  <w:style w:type="paragraph" w:styleId="Pieddepage">
    <w:name w:val="footer"/>
    <w:basedOn w:val="Normal"/>
    <w:link w:val="PieddepageCar"/>
    <w:uiPriority w:val="99"/>
    <w:unhideWhenUsed/>
    <w:rsid w:val="002C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41"/>
  </w:style>
  <w:style w:type="paragraph" w:styleId="Textedebulles">
    <w:name w:val="Balloon Text"/>
    <w:basedOn w:val="Normal"/>
    <w:link w:val="TextedebullesCar"/>
    <w:uiPriority w:val="99"/>
    <w:semiHidden/>
    <w:unhideWhenUsed/>
    <w:rsid w:val="0050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noemiefontaine0811@gmail.com</dc:creator>
  <cp:keywords/>
  <dc:description/>
  <cp:lastModifiedBy>Niko</cp:lastModifiedBy>
  <cp:revision>5</cp:revision>
  <cp:lastPrinted>2020-01-17T15:31:00Z</cp:lastPrinted>
  <dcterms:created xsi:type="dcterms:W3CDTF">2020-01-16T15:49:00Z</dcterms:created>
  <dcterms:modified xsi:type="dcterms:W3CDTF">2020-02-05T15:19:00Z</dcterms:modified>
</cp:coreProperties>
</file>