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0EFBEE" w14:textId="7BE5C87E" w:rsidR="00233E80" w:rsidRPr="008C550C" w:rsidRDefault="00233E80" w:rsidP="00233E80">
      <w:pPr>
        <w:spacing w:after="120" w:line="240" w:lineRule="auto"/>
        <w:jc w:val="right"/>
        <w:rPr>
          <w:b/>
          <w:i/>
          <w:color w:val="000000"/>
          <w:sz w:val="18"/>
          <w:szCs w:val="18"/>
          <w:u w:val="single"/>
        </w:rPr>
      </w:pPr>
      <w:r w:rsidRPr="008C550C">
        <w:rPr>
          <w:b/>
          <w:i/>
          <w:color w:val="000000"/>
          <w:sz w:val="18"/>
          <w:szCs w:val="18"/>
          <w:u w:val="single"/>
        </w:rPr>
        <w:t xml:space="preserve">TARIF EN VIGUEUR </w:t>
      </w:r>
      <w:r>
        <w:rPr>
          <w:b/>
          <w:i/>
          <w:color w:val="000000"/>
          <w:sz w:val="18"/>
          <w:szCs w:val="18"/>
          <w:u w:val="single"/>
        </w:rPr>
        <w:t>AU 01/01/2024</w:t>
      </w:r>
    </w:p>
    <w:p w14:paraId="48DE252D" w14:textId="77777777" w:rsidR="003817D9" w:rsidRDefault="003817D9"/>
    <w:p w14:paraId="5332A412" w14:textId="77777777" w:rsidR="00361575" w:rsidRPr="00361575" w:rsidRDefault="00361575" w:rsidP="00361575">
      <w:pPr>
        <w:jc w:val="center"/>
        <w:rPr>
          <w:rFonts w:ascii="Calibri" w:eastAsia="Times New Roman" w:hAnsi="Calibri" w:cs="Times New Roman"/>
          <w:b/>
          <w:color w:val="FF33CC"/>
          <w:sz w:val="32"/>
          <w:szCs w:val="32"/>
          <w:lang w:val="fr-FR"/>
        </w:rPr>
      </w:pPr>
      <w:r w:rsidRPr="00361575">
        <w:rPr>
          <w:rFonts w:ascii="Calibri" w:eastAsia="Times New Roman" w:hAnsi="Calibri" w:cs="Times New Roman"/>
          <w:b/>
          <w:color w:val="FF33CC"/>
          <w:sz w:val="32"/>
          <w:szCs w:val="32"/>
          <w:lang w:val="fr-FR"/>
        </w:rPr>
        <w:t>HONORAIRES DE TRANSACTION - Locaux Habitation Loi ALUR</w:t>
      </w:r>
    </w:p>
    <w:p w14:paraId="650A0E42" w14:textId="7A2B8B2C" w:rsidR="002173C9" w:rsidRPr="002173C9" w:rsidRDefault="002173C9" w:rsidP="002173C9">
      <w:pPr>
        <w:pStyle w:val="Sansinterligne"/>
        <w:jc w:val="center"/>
        <w:rPr>
          <w:rFonts w:ascii="Calibri" w:eastAsia="Times New Roman" w:hAnsi="Calibri" w:cs="Times New Roman"/>
          <w:bCs/>
          <w:i/>
          <w:iCs/>
          <w:sz w:val="28"/>
          <w:szCs w:val="28"/>
          <w:lang w:eastAsia="fr-FR"/>
        </w:rPr>
      </w:pPr>
      <w:r w:rsidRPr="002173C9">
        <w:rPr>
          <w:rFonts w:ascii="Calibri" w:eastAsia="Times New Roman" w:hAnsi="Calibri" w:cs="Times New Roman"/>
          <w:bCs/>
          <w:i/>
          <w:iCs/>
          <w:sz w:val="28"/>
          <w:szCs w:val="28"/>
          <w:lang w:eastAsia="fr-FR"/>
        </w:rPr>
        <w:t>15 agences immobilières à votre service depuis 1938 !</w:t>
      </w:r>
    </w:p>
    <w:p w14:paraId="58CD3B93" w14:textId="7E42B583" w:rsidR="00361575" w:rsidRDefault="00361575" w:rsidP="00361575">
      <w:pPr>
        <w:rPr>
          <w:b/>
          <w:lang w:val="fr-FR"/>
        </w:rPr>
      </w:pPr>
    </w:p>
    <w:p w14:paraId="5BF10DB0" w14:textId="77777777" w:rsidR="002173C9" w:rsidRPr="00361575" w:rsidRDefault="002173C9" w:rsidP="00361575">
      <w:pPr>
        <w:rPr>
          <w:b/>
          <w:lang w:val="fr-FR"/>
        </w:rPr>
      </w:pPr>
    </w:p>
    <w:p w14:paraId="54736BF7" w14:textId="77777777" w:rsidR="00361575" w:rsidRPr="00361575" w:rsidRDefault="00361575" w:rsidP="00361575">
      <w:pPr>
        <w:jc w:val="center"/>
        <w:rPr>
          <w:rFonts w:asciiTheme="majorHAnsi" w:hAnsiTheme="majorHAnsi" w:cstheme="majorHAnsi"/>
          <w:b/>
          <w:sz w:val="24"/>
          <w:szCs w:val="24"/>
          <w:lang w:val="fr-FR"/>
        </w:rPr>
      </w:pPr>
      <w:r w:rsidRPr="00361575">
        <w:rPr>
          <w:rFonts w:asciiTheme="majorHAnsi" w:hAnsiTheme="majorHAnsi" w:cstheme="majorHAnsi"/>
          <w:b/>
          <w:sz w:val="24"/>
          <w:szCs w:val="24"/>
          <w:lang w:val="fr-FR"/>
        </w:rPr>
        <w:t>Nos honoraires sont libres et fixés d’un commun accord entre les deux parties pour tout immeuble dont les fonds de commerces, pas de porte ainsi que les murs commerciaux et terrains.</w:t>
      </w:r>
    </w:p>
    <w:p w14:paraId="6B01BC58" w14:textId="77777777" w:rsidR="00361575" w:rsidRPr="00361575" w:rsidRDefault="00361575" w:rsidP="00361575">
      <w:pPr>
        <w:rPr>
          <w:rFonts w:asciiTheme="majorHAnsi" w:hAnsiTheme="majorHAnsi" w:cstheme="majorHAnsi"/>
          <w:b/>
          <w:lang w:val="fr-FR"/>
        </w:rPr>
      </w:pPr>
    </w:p>
    <w:p w14:paraId="3CA35F19" w14:textId="77777777" w:rsidR="00361575" w:rsidRPr="00361575" w:rsidRDefault="00361575" w:rsidP="00361575">
      <w:pPr>
        <w:jc w:val="center"/>
        <w:rPr>
          <w:rFonts w:asciiTheme="majorHAnsi" w:hAnsiTheme="majorHAnsi" w:cstheme="majorHAnsi"/>
          <w:b/>
          <w:sz w:val="24"/>
          <w:szCs w:val="24"/>
          <w:lang w:val="fr-FR"/>
        </w:rPr>
      </w:pPr>
      <w:r w:rsidRPr="00361575">
        <w:rPr>
          <w:rFonts w:asciiTheme="majorHAnsi" w:hAnsiTheme="majorHAnsi" w:cstheme="majorHAnsi"/>
          <w:b/>
          <w:sz w:val="24"/>
          <w:szCs w:val="24"/>
          <w:lang w:val="fr-FR"/>
        </w:rPr>
        <w:t>Nos honoraires sont à la charge du vendeur sauf si une convention est précisée dans le mandat.</w:t>
      </w:r>
    </w:p>
    <w:p w14:paraId="5BC1ED83" w14:textId="77777777" w:rsidR="00361575" w:rsidRDefault="00361575" w:rsidP="00361575">
      <w:pPr>
        <w:rPr>
          <w:rFonts w:asciiTheme="majorHAnsi" w:hAnsiTheme="majorHAnsi" w:cstheme="majorHAnsi"/>
          <w:b/>
          <w:bCs/>
          <w:iCs/>
          <w:sz w:val="24"/>
          <w:szCs w:val="24"/>
          <w:lang w:val="fr-FR"/>
        </w:rPr>
      </w:pPr>
    </w:p>
    <w:tbl>
      <w:tblPr>
        <w:tblpPr w:leftFromText="141" w:rightFromText="141" w:vertAnchor="text" w:horzAnchor="margin" w:tblpY="-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705"/>
      </w:tblGrid>
      <w:tr w:rsidR="00361575" w:rsidRPr="00361575" w14:paraId="5BA79522" w14:textId="77777777" w:rsidTr="002173C9">
        <w:trPr>
          <w:trHeight w:val="344"/>
        </w:trPr>
        <w:tc>
          <w:tcPr>
            <w:tcW w:w="4929" w:type="dxa"/>
          </w:tcPr>
          <w:p w14:paraId="070E5B59" w14:textId="77777777" w:rsidR="00361575" w:rsidRPr="00361575" w:rsidRDefault="00361575" w:rsidP="00361575">
            <w:pPr>
              <w:jc w:val="center"/>
              <w:rPr>
                <w:rFonts w:asciiTheme="majorHAnsi" w:eastAsia="Times New Roman" w:hAnsiTheme="majorHAnsi" w:cstheme="majorHAnsi"/>
                <w:b/>
                <w:color w:val="FF33CC"/>
                <w:sz w:val="28"/>
                <w:szCs w:val="28"/>
                <w:lang w:val="fr-FR"/>
              </w:rPr>
            </w:pPr>
            <w:r w:rsidRPr="00361575">
              <w:rPr>
                <w:rFonts w:asciiTheme="majorHAnsi" w:eastAsia="Times New Roman" w:hAnsiTheme="majorHAnsi" w:cstheme="majorHAnsi"/>
                <w:b/>
                <w:color w:val="FF33CC"/>
                <w:sz w:val="28"/>
                <w:szCs w:val="28"/>
                <w:lang w:val="fr-FR"/>
              </w:rPr>
              <w:t>PRIX DE VENTE</w:t>
            </w:r>
          </w:p>
        </w:tc>
        <w:tc>
          <w:tcPr>
            <w:tcW w:w="4705" w:type="dxa"/>
          </w:tcPr>
          <w:p w14:paraId="4CD327B8" w14:textId="77777777" w:rsidR="00361575" w:rsidRPr="00361575" w:rsidRDefault="00361575" w:rsidP="00361575">
            <w:pPr>
              <w:jc w:val="center"/>
              <w:rPr>
                <w:rFonts w:asciiTheme="majorHAnsi" w:eastAsia="Times New Roman" w:hAnsiTheme="majorHAnsi" w:cstheme="majorHAnsi"/>
                <w:b/>
                <w:color w:val="FF33CC"/>
                <w:sz w:val="28"/>
                <w:szCs w:val="28"/>
                <w:lang w:val="fr-FR"/>
              </w:rPr>
            </w:pPr>
            <w:r w:rsidRPr="00361575">
              <w:rPr>
                <w:rFonts w:asciiTheme="majorHAnsi" w:eastAsia="Times New Roman" w:hAnsiTheme="majorHAnsi" w:cstheme="majorHAnsi"/>
                <w:b/>
                <w:color w:val="FF33CC"/>
                <w:sz w:val="28"/>
                <w:szCs w:val="28"/>
                <w:lang w:val="fr-FR"/>
              </w:rPr>
              <w:t>HONORAIRES Maximum</w:t>
            </w:r>
          </w:p>
        </w:tc>
      </w:tr>
      <w:tr w:rsidR="00361575" w:rsidRPr="00361575" w14:paraId="580E431F" w14:textId="77777777" w:rsidTr="002173C9">
        <w:trPr>
          <w:trHeight w:val="344"/>
        </w:trPr>
        <w:tc>
          <w:tcPr>
            <w:tcW w:w="4929" w:type="dxa"/>
          </w:tcPr>
          <w:p w14:paraId="47112AA5" w14:textId="0DE3CC29"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 xml:space="preserve">De 0€ à </w:t>
            </w:r>
            <w:r w:rsidR="00B76794">
              <w:rPr>
                <w:rFonts w:asciiTheme="majorHAnsi" w:hAnsiTheme="majorHAnsi" w:cstheme="majorHAnsi"/>
                <w:bCs/>
                <w:iCs/>
                <w:sz w:val="28"/>
                <w:szCs w:val="28"/>
                <w:lang w:val="fr-FR"/>
              </w:rPr>
              <w:t>5</w:t>
            </w:r>
            <w:r w:rsidRPr="00361575">
              <w:rPr>
                <w:rFonts w:asciiTheme="majorHAnsi" w:hAnsiTheme="majorHAnsi" w:cstheme="majorHAnsi"/>
                <w:bCs/>
                <w:iCs/>
                <w:sz w:val="28"/>
                <w:szCs w:val="28"/>
                <w:lang w:val="fr-FR"/>
              </w:rPr>
              <w:t>0 000€</w:t>
            </w:r>
          </w:p>
        </w:tc>
        <w:tc>
          <w:tcPr>
            <w:tcW w:w="4705" w:type="dxa"/>
          </w:tcPr>
          <w:p w14:paraId="789DC7FE" w14:textId="3592BF01" w:rsidR="00361575" w:rsidRPr="00361575" w:rsidRDefault="00B76794"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Forfait 5</w:t>
            </w:r>
            <w:r w:rsidR="002173C9">
              <w:rPr>
                <w:rFonts w:asciiTheme="majorHAnsi" w:hAnsiTheme="majorHAnsi" w:cstheme="majorHAnsi"/>
                <w:bCs/>
                <w:iCs/>
                <w:sz w:val="28"/>
                <w:szCs w:val="28"/>
                <w:lang w:val="fr-FR"/>
              </w:rPr>
              <w:t> 000 €</w:t>
            </w:r>
            <w:r>
              <w:rPr>
                <w:rFonts w:asciiTheme="majorHAnsi" w:hAnsiTheme="majorHAnsi" w:cstheme="majorHAnsi"/>
                <w:bCs/>
                <w:iCs/>
                <w:sz w:val="28"/>
                <w:szCs w:val="28"/>
                <w:lang w:val="fr-FR"/>
              </w:rPr>
              <w:t xml:space="preserve"> Max</w:t>
            </w:r>
          </w:p>
        </w:tc>
      </w:tr>
      <w:tr w:rsidR="00361575" w:rsidRPr="00361575" w14:paraId="102556DE" w14:textId="77777777" w:rsidTr="002173C9">
        <w:trPr>
          <w:trHeight w:val="344"/>
        </w:trPr>
        <w:tc>
          <w:tcPr>
            <w:tcW w:w="4929" w:type="dxa"/>
          </w:tcPr>
          <w:p w14:paraId="3631F32D" w14:textId="42903004"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 xml:space="preserve">De </w:t>
            </w:r>
            <w:r w:rsidR="00B76794">
              <w:rPr>
                <w:rFonts w:asciiTheme="majorHAnsi" w:hAnsiTheme="majorHAnsi" w:cstheme="majorHAnsi"/>
                <w:bCs/>
                <w:iCs/>
                <w:sz w:val="28"/>
                <w:szCs w:val="28"/>
                <w:lang w:val="fr-FR"/>
              </w:rPr>
              <w:t>5</w:t>
            </w:r>
            <w:r w:rsidRPr="00361575">
              <w:rPr>
                <w:rFonts w:asciiTheme="majorHAnsi" w:hAnsiTheme="majorHAnsi" w:cstheme="majorHAnsi"/>
                <w:bCs/>
                <w:iCs/>
                <w:sz w:val="28"/>
                <w:szCs w:val="28"/>
                <w:lang w:val="fr-FR"/>
              </w:rPr>
              <w:t>0 001€ à 100 000€</w:t>
            </w:r>
          </w:p>
        </w:tc>
        <w:tc>
          <w:tcPr>
            <w:tcW w:w="4705" w:type="dxa"/>
          </w:tcPr>
          <w:p w14:paraId="354AC2F1" w14:textId="1A3B1651" w:rsidR="00361575" w:rsidRPr="00361575" w:rsidRDefault="002173C9"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 xml:space="preserve"> </w:t>
            </w:r>
            <w:r w:rsidR="00B76794">
              <w:rPr>
                <w:rFonts w:asciiTheme="majorHAnsi" w:hAnsiTheme="majorHAnsi" w:cstheme="majorHAnsi"/>
                <w:bCs/>
                <w:iCs/>
                <w:sz w:val="28"/>
                <w:szCs w:val="28"/>
                <w:lang w:val="fr-FR"/>
              </w:rPr>
              <w:t>7 000 € Max</w:t>
            </w:r>
          </w:p>
        </w:tc>
      </w:tr>
      <w:tr w:rsidR="00361575" w:rsidRPr="00361575" w14:paraId="7D63AAC5" w14:textId="77777777" w:rsidTr="002173C9">
        <w:trPr>
          <w:trHeight w:val="344"/>
        </w:trPr>
        <w:tc>
          <w:tcPr>
            <w:tcW w:w="4929" w:type="dxa"/>
          </w:tcPr>
          <w:p w14:paraId="038248C9"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100 001€ à 150 000€</w:t>
            </w:r>
          </w:p>
        </w:tc>
        <w:tc>
          <w:tcPr>
            <w:tcW w:w="4705" w:type="dxa"/>
          </w:tcPr>
          <w:p w14:paraId="382EFB18" w14:textId="597C94FF" w:rsidR="00361575" w:rsidRPr="00361575" w:rsidRDefault="00B76794" w:rsidP="002173C9">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 xml:space="preserve">8 </w:t>
            </w:r>
            <w:r w:rsidR="00361575" w:rsidRPr="00361575">
              <w:rPr>
                <w:rFonts w:asciiTheme="majorHAnsi" w:hAnsiTheme="majorHAnsi" w:cstheme="majorHAnsi"/>
                <w:bCs/>
                <w:iCs/>
                <w:sz w:val="28"/>
                <w:szCs w:val="28"/>
                <w:lang w:val="fr-FR"/>
              </w:rPr>
              <w:t>% TTC</w:t>
            </w:r>
          </w:p>
        </w:tc>
      </w:tr>
      <w:tr w:rsidR="00361575" w:rsidRPr="00361575" w14:paraId="11E18448" w14:textId="77777777" w:rsidTr="002173C9">
        <w:trPr>
          <w:trHeight w:val="344"/>
        </w:trPr>
        <w:tc>
          <w:tcPr>
            <w:tcW w:w="4929" w:type="dxa"/>
          </w:tcPr>
          <w:p w14:paraId="739B4CB6" w14:textId="3DAC499E"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150 001€ à 3</w:t>
            </w:r>
            <w:r w:rsidR="00B76794">
              <w:rPr>
                <w:rFonts w:asciiTheme="majorHAnsi" w:hAnsiTheme="majorHAnsi" w:cstheme="majorHAnsi"/>
                <w:bCs/>
                <w:iCs/>
                <w:sz w:val="28"/>
                <w:szCs w:val="28"/>
                <w:lang w:val="fr-FR"/>
              </w:rPr>
              <w:t>0</w:t>
            </w:r>
            <w:r w:rsidRPr="00361575">
              <w:rPr>
                <w:rFonts w:asciiTheme="majorHAnsi" w:hAnsiTheme="majorHAnsi" w:cstheme="majorHAnsi"/>
                <w:bCs/>
                <w:iCs/>
                <w:sz w:val="28"/>
                <w:szCs w:val="28"/>
                <w:lang w:val="fr-FR"/>
              </w:rPr>
              <w:t>0 000€</w:t>
            </w:r>
          </w:p>
        </w:tc>
        <w:tc>
          <w:tcPr>
            <w:tcW w:w="4705" w:type="dxa"/>
          </w:tcPr>
          <w:p w14:paraId="27DAD9C8" w14:textId="1BDA1B10" w:rsidR="00361575" w:rsidRPr="00361575" w:rsidRDefault="00B76794"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7</w:t>
            </w:r>
            <w:r w:rsidR="002173C9">
              <w:rPr>
                <w:rFonts w:asciiTheme="majorHAnsi" w:hAnsiTheme="majorHAnsi" w:cstheme="majorHAnsi"/>
                <w:bCs/>
                <w:iCs/>
                <w:sz w:val="28"/>
                <w:szCs w:val="28"/>
                <w:lang w:val="fr-FR"/>
              </w:rPr>
              <w:t xml:space="preserve"> % TTC</w:t>
            </w:r>
          </w:p>
        </w:tc>
      </w:tr>
      <w:tr w:rsidR="00361575" w:rsidRPr="00361575" w14:paraId="6E0279C7" w14:textId="77777777" w:rsidTr="002173C9">
        <w:trPr>
          <w:trHeight w:val="344"/>
        </w:trPr>
        <w:tc>
          <w:tcPr>
            <w:tcW w:w="4929" w:type="dxa"/>
          </w:tcPr>
          <w:p w14:paraId="139C8198" w14:textId="363BD345"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De 3</w:t>
            </w:r>
            <w:r w:rsidR="00B76794">
              <w:rPr>
                <w:rFonts w:asciiTheme="majorHAnsi" w:hAnsiTheme="majorHAnsi" w:cstheme="majorHAnsi"/>
                <w:bCs/>
                <w:iCs/>
                <w:sz w:val="28"/>
                <w:szCs w:val="28"/>
                <w:lang w:val="fr-FR"/>
              </w:rPr>
              <w:t>0</w:t>
            </w:r>
            <w:r w:rsidRPr="00361575">
              <w:rPr>
                <w:rFonts w:asciiTheme="majorHAnsi" w:hAnsiTheme="majorHAnsi" w:cstheme="majorHAnsi"/>
                <w:bCs/>
                <w:iCs/>
                <w:sz w:val="28"/>
                <w:szCs w:val="28"/>
                <w:lang w:val="fr-FR"/>
              </w:rPr>
              <w:t>0 001€ à 500 000€</w:t>
            </w:r>
          </w:p>
        </w:tc>
        <w:tc>
          <w:tcPr>
            <w:tcW w:w="4705" w:type="dxa"/>
          </w:tcPr>
          <w:p w14:paraId="762469F9" w14:textId="70491349" w:rsidR="00361575" w:rsidRPr="00361575" w:rsidRDefault="00B76794"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 xml:space="preserve">6 </w:t>
            </w:r>
            <w:r w:rsidR="002173C9">
              <w:rPr>
                <w:rFonts w:asciiTheme="majorHAnsi" w:hAnsiTheme="majorHAnsi" w:cstheme="majorHAnsi"/>
                <w:bCs/>
                <w:iCs/>
                <w:sz w:val="28"/>
                <w:szCs w:val="28"/>
                <w:lang w:val="fr-FR"/>
              </w:rPr>
              <w:t>% TTC</w:t>
            </w:r>
          </w:p>
        </w:tc>
      </w:tr>
      <w:tr w:rsidR="00361575" w:rsidRPr="00361575" w14:paraId="60657EC7" w14:textId="77777777" w:rsidTr="002173C9">
        <w:trPr>
          <w:trHeight w:val="344"/>
        </w:trPr>
        <w:tc>
          <w:tcPr>
            <w:tcW w:w="4929" w:type="dxa"/>
          </w:tcPr>
          <w:p w14:paraId="7006BF1A" w14:textId="232EF246" w:rsidR="00361575" w:rsidRPr="00361575" w:rsidRDefault="002173C9"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Au-delà de</w:t>
            </w:r>
            <w:r w:rsidR="00361575" w:rsidRPr="00361575">
              <w:rPr>
                <w:rFonts w:asciiTheme="majorHAnsi" w:hAnsiTheme="majorHAnsi" w:cstheme="majorHAnsi"/>
                <w:bCs/>
                <w:iCs/>
                <w:sz w:val="28"/>
                <w:szCs w:val="28"/>
                <w:lang w:val="fr-FR"/>
              </w:rPr>
              <w:t xml:space="preserve"> 500 001€</w:t>
            </w:r>
          </w:p>
        </w:tc>
        <w:tc>
          <w:tcPr>
            <w:tcW w:w="4705" w:type="dxa"/>
          </w:tcPr>
          <w:p w14:paraId="4DDE335E" w14:textId="3BE73A76"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5</w:t>
            </w:r>
            <w:r w:rsidR="002173C9">
              <w:rPr>
                <w:rFonts w:asciiTheme="majorHAnsi" w:hAnsiTheme="majorHAnsi" w:cstheme="majorHAnsi"/>
                <w:bCs/>
                <w:iCs/>
                <w:sz w:val="28"/>
                <w:szCs w:val="28"/>
                <w:lang w:val="fr-FR"/>
              </w:rPr>
              <w:t xml:space="preserve"> </w:t>
            </w:r>
            <w:r w:rsidRPr="00361575">
              <w:rPr>
                <w:rFonts w:asciiTheme="majorHAnsi" w:hAnsiTheme="majorHAnsi" w:cstheme="majorHAnsi"/>
                <w:bCs/>
                <w:iCs/>
                <w:sz w:val="28"/>
                <w:szCs w:val="28"/>
                <w:lang w:val="fr-FR"/>
              </w:rPr>
              <w:t>%TTC</w:t>
            </w:r>
          </w:p>
        </w:tc>
      </w:tr>
      <w:tr w:rsidR="00361575" w:rsidRPr="00361575" w14:paraId="42A5CBA1" w14:textId="77777777" w:rsidTr="002173C9">
        <w:trPr>
          <w:trHeight w:val="473"/>
        </w:trPr>
        <w:tc>
          <w:tcPr>
            <w:tcW w:w="4929" w:type="dxa"/>
          </w:tcPr>
          <w:p w14:paraId="30BD8C22" w14:textId="77777777" w:rsidR="00361575" w:rsidRPr="00361575" w:rsidRDefault="00361575" w:rsidP="00361575">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Garage de 1 euro à 15 000 euros</w:t>
            </w:r>
          </w:p>
        </w:tc>
        <w:tc>
          <w:tcPr>
            <w:tcW w:w="4705" w:type="dxa"/>
          </w:tcPr>
          <w:p w14:paraId="72B5C725" w14:textId="00FE9C4E" w:rsidR="00361575" w:rsidRPr="00361575" w:rsidRDefault="00B76794"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3</w:t>
            </w:r>
            <w:r w:rsidR="00361575" w:rsidRPr="00361575">
              <w:rPr>
                <w:rFonts w:asciiTheme="majorHAnsi" w:hAnsiTheme="majorHAnsi" w:cstheme="majorHAnsi"/>
                <w:bCs/>
                <w:iCs/>
                <w:sz w:val="28"/>
                <w:szCs w:val="28"/>
                <w:lang w:val="fr-FR"/>
              </w:rPr>
              <w:t xml:space="preserve">000 </w:t>
            </w:r>
            <w:r w:rsidR="002173C9">
              <w:rPr>
                <w:rFonts w:asciiTheme="majorHAnsi" w:hAnsiTheme="majorHAnsi" w:cstheme="majorHAnsi"/>
                <w:bCs/>
                <w:iCs/>
                <w:sz w:val="28"/>
                <w:szCs w:val="28"/>
                <w:lang w:val="fr-FR"/>
              </w:rPr>
              <w:t>€</w:t>
            </w:r>
            <w:r w:rsidR="00361575" w:rsidRPr="00361575">
              <w:rPr>
                <w:rFonts w:asciiTheme="majorHAnsi" w:hAnsiTheme="majorHAnsi" w:cstheme="majorHAnsi"/>
                <w:bCs/>
                <w:iCs/>
                <w:sz w:val="28"/>
                <w:szCs w:val="28"/>
                <w:lang w:val="fr-FR"/>
              </w:rPr>
              <w:t xml:space="preserve"> Maximum</w:t>
            </w:r>
          </w:p>
        </w:tc>
      </w:tr>
      <w:tr w:rsidR="00361575" w:rsidRPr="00361575" w14:paraId="45D817CD" w14:textId="77777777" w:rsidTr="002173C9">
        <w:trPr>
          <w:trHeight w:val="690"/>
        </w:trPr>
        <w:tc>
          <w:tcPr>
            <w:tcW w:w="4929" w:type="dxa"/>
          </w:tcPr>
          <w:p w14:paraId="09E6A59B" w14:textId="77777777" w:rsidR="002173C9" w:rsidRDefault="00361575" w:rsidP="002173C9">
            <w:pPr>
              <w:jc w:val="center"/>
              <w:rPr>
                <w:rFonts w:asciiTheme="majorHAnsi" w:hAnsiTheme="majorHAnsi" w:cstheme="majorHAnsi"/>
                <w:bCs/>
                <w:iCs/>
                <w:sz w:val="28"/>
                <w:szCs w:val="28"/>
                <w:lang w:val="fr-FR"/>
              </w:rPr>
            </w:pPr>
            <w:r w:rsidRPr="00361575">
              <w:rPr>
                <w:rFonts w:asciiTheme="majorHAnsi" w:hAnsiTheme="majorHAnsi" w:cstheme="majorHAnsi"/>
                <w:bCs/>
                <w:iCs/>
                <w:sz w:val="28"/>
                <w:szCs w:val="28"/>
                <w:lang w:val="fr-FR"/>
              </w:rPr>
              <w:t>Estimation, succession, donatio</w:t>
            </w:r>
            <w:r w:rsidR="002173C9">
              <w:rPr>
                <w:rFonts w:asciiTheme="majorHAnsi" w:hAnsiTheme="majorHAnsi" w:cstheme="majorHAnsi"/>
                <w:bCs/>
                <w:iCs/>
                <w:sz w:val="28"/>
                <w:szCs w:val="28"/>
                <w:lang w:val="fr-FR"/>
              </w:rPr>
              <w:t>n</w:t>
            </w:r>
          </w:p>
          <w:p w14:paraId="13DF02E8" w14:textId="706BEA52" w:rsidR="002173C9" w:rsidRPr="002173C9" w:rsidRDefault="002173C9" w:rsidP="002173C9">
            <w:pPr>
              <w:tabs>
                <w:tab w:val="left" w:pos="2730"/>
              </w:tabs>
              <w:rPr>
                <w:rFonts w:asciiTheme="majorHAnsi" w:hAnsiTheme="majorHAnsi" w:cstheme="majorHAnsi"/>
                <w:sz w:val="16"/>
                <w:szCs w:val="16"/>
                <w:lang w:val="fr-FR"/>
              </w:rPr>
            </w:pPr>
            <w:r>
              <w:rPr>
                <w:rFonts w:asciiTheme="majorHAnsi" w:hAnsiTheme="majorHAnsi" w:cstheme="majorHAnsi"/>
                <w:sz w:val="28"/>
                <w:szCs w:val="28"/>
                <w:lang w:val="fr-FR"/>
              </w:rPr>
              <w:tab/>
            </w:r>
          </w:p>
        </w:tc>
        <w:tc>
          <w:tcPr>
            <w:tcW w:w="4705" w:type="dxa"/>
          </w:tcPr>
          <w:p w14:paraId="6D7F4071" w14:textId="7258537B" w:rsidR="00361575" w:rsidRPr="00361575" w:rsidRDefault="00B76794" w:rsidP="00361575">
            <w:pPr>
              <w:jc w:val="center"/>
              <w:rPr>
                <w:rFonts w:asciiTheme="majorHAnsi" w:hAnsiTheme="majorHAnsi" w:cstheme="majorHAnsi"/>
                <w:bCs/>
                <w:iCs/>
                <w:sz w:val="28"/>
                <w:szCs w:val="28"/>
                <w:lang w:val="fr-FR"/>
              </w:rPr>
            </w:pPr>
            <w:r>
              <w:rPr>
                <w:rFonts w:asciiTheme="majorHAnsi" w:hAnsiTheme="majorHAnsi" w:cstheme="majorHAnsi"/>
                <w:bCs/>
                <w:iCs/>
                <w:sz w:val="28"/>
                <w:szCs w:val="28"/>
                <w:lang w:val="fr-FR"/>
              </w:rPr>
              <w:t>568</w:t>
            </w:r>
            <w:r w:rsidR="002173C9">
              <w:rPr>
                <w:rFonts w:asciiTheme="majorHAnsi" w:hAnsiTheme="majorHAnsi" w:cstheme="majorHAnsi"/>
                <w:bCs/>
                <w:iCs/>
                <w:sz w:val="28"/>
                <w:szCs w:val="28"/>
                <w:lang w:val="fr-FR"/>
              </w:rPr>
              <w:t xml:space="preserve"> € TTC </w:t>
            </w:r>
          </w:p>
        </w:tc>
      </w:tr>
    </w:tbl>
    <w:p w14:paraId="45C0EE10" w14:textId="77777777" w:rsidR="00361575" w:rsidRDefault="00361575" w:rsidP="00361575">
      <w:pPr>
        <w:rPr>
          <w:rFonts w:asciiTheme="majorHAnsi" w:hAnsiTheme="majorHAnsi" w:cstheme="majorHAnsi"/>
          <w:b/>
          <w:bCs/>
          <w:iCs/>
          <w:sz w:val="24"/>
          <w:szCs w:val="24"/>
          <w:lang w:val="fr-FR"/>
        </w:rPr>
      </w:pPr>
    </w:p>
    <w:p w14:paraId="39C1A4B0" w14:textId="555E0040" w:rsidR="00361575" w:rsidRPr="00361575" w:rsidRDefault="00361575" w:rsidP="00361575">
      <w:pPr>
        <w:rPr>
          <w:rFonts w:asciiTheme="majorHAnsi" w:hAnsiTheme="majorHAnsi" w:cstheme="majorHAnsi"/>
          <w:bCs/>
          <w:i/>
          <w:iCs/>
          <w:sz w:val="24"/>
          <w:szCs w:val="24"/>
          <w:lang w:val="fr-FR"/>
        </w:rPr>
      </w:pPr>
      <w:r w:rsidRPr="00361575">
        <w:rPr>
          <w:rFonts w:asciiTheme="majorHAnsi" w:hAnsiTheme="majorHAnsi" w:cstheme="majorHAnsi"/>
          <w:b/>
          <w:bCs/>
          <w:iCs/>
          <w:sz w:val="24"/>
          <w:szCs w:val="24"/>
          <w:u w:val="single"/>
          <w:lang w:val="fr-FR"/>
        </w:rPr>
        <w:t>Pour les ventes en viagers</w:t>
      </w:r>
      <w:r w:rsidRPr="00361575">
        <w:rPr>
          <w:rFonts w:asciiTheme="majorHAnsi" w:hAnsiTheme="majorHAnsi" w:cstheme="majorHAnsi"/>
          <w:b/>
          <w:bCs/>
          <w:iCs/>
          <w:sz w:val="24"/>
          <w:szCs w:val="24"/>
          <w:lang w:val="fr-FR"/>
        </w:rPr>
        <w:t xml:space="preserve"> le montant des honoraires d’agence seront calculés sur la base de la valeur vénale du bien</w:t>
      </w:r>
      <w:r w:rsidRPr="00361575">
        <w:rPr>
          <w:rFonts w:asciiTheme="majorHAnsi" w:hAnsiTheme="majorHAnsi" w:cstheme="majorHAnsi"/>
          <w:bCs/>
          <w:i/>
          <w:iCs/>
          <w:sz w:val="24"/>
          <w:szCs w:val="24"/>
          <w:lang w:val="fr-FR"/>
        </w:rPr>
        <w:t>.</w:t>
      </w:r>
    </w:p>
    <w:p w14:paraId="54D7D591" w14:textId="21FA10DD" w:rsidR="00361575" w:rsidRPr="00361575" w:rsidRDefault="00361575" w:rsidP="00361575">
      <w:pPr>
        <w:rPr>
          <w:bCs/>
          <w:i/>
          <w:iCs/>
          <w:lang w:val="fr-FR"/>
        </w:rPr>
      </w:pPr>
      <w:r w:rsidRPr="00361575">
        <w:rPr>
          <w:bCs/>
          <w:i/>
          <w:iCs/>
          <w:noProof/>
          <w:lang w:val="fr-FR"/>
        </w:rPr>
        <mc:AlternateContent>
          <mc:Choice Requires="wps">
            <w:drawing>
              <wp:anchor distT="0" distB="0" distL="114300" distR="114300" simplePos="0" relativeHeight="251659264" behindDoc="0" locked="0" layoutInCell="1" allowOverlap="1" wp14:anchorId="0FEEB216" wp14:editId="385BFD17">
                <wp:simplePos x="0" y="0"/>
                <wp:positionH relativeFrom="column">
                  <wp:posOffset>-371789</wp:posOffset>
                </wp:positionH>
                <wp:positionV relativeFrom="paragraph">
                  <wp:posOffset>69466</wp:posOffset>
                </wp:positionV>
                <wp:extent cx="6893232" cy="45719"/>
                <wp:effectExtent l="0" t="0" r="22225" b="31115"/>
                <wp:wrapNone/>
                <wp:docPr id="302992672"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3232"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10243" id="_x0000_t32" coordsize="21600,21600" o:spt="32" o:oned="t" path="m,l21600,21600e" filled="f">
                <v:path arrowok="t" fillok="f" o:connecttype="none"/>
                <o:lock v:ext="edit" shapetype="t"/>
              </v:shapetype>
              <v:shape id="Connecteur droit avec flèche 3" o:spid="_x0000_s1026" type="#_x0000_t32" style="position:absolute;margin-left:-29.25pt;margin-top:5.45pt;width:542.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"/>
            </w:pict>
          </mc:Fallback>
        </mc:AlternateContent>
      </w:r>
    </w:p>
    <w:p w14:paraId="6B22B42F" w14:textId="77777777" w:rsidR="00361575" w:rsidRDefault="00361575" w:rsidP="00361575">
      <w:pPr>
        <w:tabs>
          <w:tab w:val="left" w:pos="6180"/>
        </w:tabs>
        <w:jc w:val="center"/>
        <w:rPr>
          <w:rFonts w:ascii="Calibri" w:eastAsia="Times New Roman" w:hAnsi="Calibri" w:cs="Times New Roman"/>
          <w:b/>
          <w:color w:val="FF33CC"/>
          <w:sz w:val="24"/>
          <w:lang w:val="fr-FR"/>
        </w:rPr>
      </w:pPr>
    </w:p>
    <w:p w14:paraId="3A57F063" w14:textId="77777777" w:rsidR="002173C9" w:rsidRDefault="002173C9" w:rsidP="00361575">
      <w:pPr>
        <w:tabs>
          <w:tab w:val="left" w:pos="6180"/>
        </w:tabs>
        <w:jc w:val="center"/>
        <w:rPr>
          <w:rFonts w:ascii="Calibri" w:eastAsia="Times New Roman" w:hAnsi="Calibri" w:cs="Times New Roman"/>
          <w:b/>
          <w:color w:val="FF33CC"/>
          <w:sz w:val="24"/>
          <w:lang w:val="fr-FR"/>
        </w:rPr>
      </w:pPr>
    </w:p>
    <w:p w14:paraId="7875BCC9" w14:textId="16670F20" w:rsidR="002173C9" w:rsidRDefault="002173C9" w:rsidP="002173C9">
      <w:pPr>
        <w:pStyle w:val="Sansinterligne"/>
        <w:tabs>
          <w:tab w:val="left" w:pos="4253"/>
        </w:tabs>
        <w:jc w:val="center"/>
        <w:rPr>
          <w:rFonts w:ascii="Calibri" w:eastAsia="Times New Roman" w:hAnsi="Calibri" w:cs="Times New Roman"/>
          <w:b/>
          <w:color w:val="FF33CC"/>
          <w:sz w:val="32"/>
          <w:szCs w:val="32"/>
          <w:lang w:eastAsia="fr-FR"/>
        </w:rPr>
      </w:pPr>
      <w:r w:rsidRPr="002173C9">
        <w:rPr>
          <w:rFonts w:ascii="Calibri" w:eastAsia="Times New Roman" w:hAnsi="Calibri" w:cs="Times New Roman"/>
          <w:b/>
          <w:color w:val="FF33CC"/>
          <w:sz w:val="32"/>
          <w:szCs w:val="32"/>
          <w:lang w:eastAsia="fr-FR"/>
        </w:rPr>
        <w:t>Agence MAURICE GARCIN Cavaillon</w:t>
      </w:r>
    </w:p>
    <w:p w14:paraId="6A34BF3B" w14:textId="77777777" w:rsidR="002173C9" w:rsidRPr="002173C9" w:rsidRDefault="002173C9" w:rsidP="002173C9">
      <w:pPr>
        <w:pStyle w:val="Sansinterligne"/>
        <w:tabs>
          <w:tab w:val="left" w:pos="4253"/>
        </w:tabs>
        <w:jc w:val="center"/>
        <w:rPr>
          <w:rFonts w:ascii="Calibri" w:eastAsia="Times New Roman" w:hAnsi="Calibri" w:cs="Times New Roman"/>
          <w:b/>
          <w:color w:val="FF33CC"/>
          <w:sz w:val="24"/>
          <w:szCs w:val="24"/>
          <w:lang w:eastAsia="fr-FR"/>
        </w:rPr>
      </w:pPr>
    </w:p>
    <w:p w14:paraId="6B940739" w14:textId="77777777" w:rsidR="002173C9" w:rsidRPr="002173C9" w:rsidRDefault="002173C9" w:rsidP="002173C9">
      <w:pPr>
        <w:pStyle w:val="Sansinterligne"/>
        <w:tabs>
          <w:tab w:val="left" w:pos="4253"/>
        </w:tabs>
        <w:jc w:val="center"/>
        <w:rPr>
          <w:rFonts w:asciiTheme="majorHAnsi" w:eastAsia="Arial" w:hAnsiTheme="majorHAnsi" w:cstheme="majorHAnsi"/>
          <w:bCs/>
          <w:sz w:val="24"/>
          <w:szCs w:val="24"/>
          <w:lang w:eastAsia="fr-FR"/>
        </w:rPr>
      </w:pPr>
      <w:r w:rsidRPr="002173C9">
        <w:rPr>
          <w:rFonts w:asciiTheme="majorHAnsi" w:eastAsia="Arial" w:hAnsiTheme="majorHAnsi" w:cstheme="majorHAnsi"/>
          <w:bCs/>
          <w:sz w:val="24"/>
          <w:szCs w:val="24"/>
          <w:lang w:eastAsia="fr-FR"/>
        </w:rPr>
        <w:t>55 cours Gambetta 84300 CAVAILLON</w:t>
      </w:r>
    </w:p>
    <w:p w14:paraId="28E60534" w14:textId="77777777" w:rsidR="002173C9" w:rsidRPr="002173C9" w:rsidRDefault="002173C9" w:rsidP="002173C9">
      <w:pPr>
        <w:pStyle w:val="Sansinterligne"/>
        <w:tabs>
          <w:tab w:val="left" w:pos="4253"/>
        </w:tabs>
        <w:jc w:val="center"/>
        <w:rPr>
          <w:rFonts w:asciiTheme="majorHAnsi" w:eastAsia="Arial" w:hAnsiTheme="majorHAnsi" w:cstheme="majorHAnsi"/>
          <w:bCs/>
          <w:sz w:val="24"/>
          <w:szCs w:val="24"/>
          <w:lang w:eastAsia="fr-FR"/>
        </w:rPr>
      </w:pPr>
      <w:r w:rsidRPr="002173C9">
        <w:rPr>
          <w:rFonts w:asciiTheme="majorHAnsi" w:eastAsia="Arial" w:hAnsiTheme="majorHAnsi" w:cstheme="majorHAnsi"/>
          <w:bCs/>
          <w:sz w:val="24"/>
          <w:szCs w:val="24"/>
          <w:lang w:eastAsia="fr-FR"/>
        </w:rPr>
        <w:t>SARL R6 au capital de 7500 € - RCS 452 432 164 – Siret : 452 432 164 00039</w:t>
      </w:r>
    </w:p>
    <w:p w14:paraId="1B625A29" w14:textId="77777777" w:rsidR="002173C9" w:rsidRPr="002173C9" w:rsidRDefault="002173C9" w:rsidP="002173C9">
      <w:pPr>
        <w:pStyle w:val="Sansinterligne"/>
        <w:tabs>
          <w:tab w:val="left" w:pos="4253"/>
        </w:tabs>
        <w:jc w:val="center"/>
        <w:rPr>
          <w:rFonts w:asciiTheme="majorHAnsi" w:eastAsia="Arial" w:hAnsiTheme="majorHAnsi" w:cstheme="majorHAnsi"/>
          <w:bCs/>
          <w:sz w:val="24"/>
          <w:szCs w:val="24"/>
          <w:lang w:eastAsia="fr-FR"/>
        </w:rPr>
      </w:pPr>
      <w:r w:rsidRPr="002173C9">
        <w:rPr>
          <w:rFonts w:asciiTheme="majorHAnsi" w:eastAsia="Arial" w:hAnsiTheme="majorHAnsi" w:cstheme="majorHAnsi"/>
          <w:bCs/>
          <w:sz w:val="24"/>
          <w:szCs w:val="24"/>
          <w:lang w:eastAsia="fr-FR"/>
        </w:rPr>
        <w:t>Carte professionnelle n° CPI 8401 2016 000 013 303 délivrée à Avignon</w:t>
      </w:r>
    </w:p>
    <w:p w14:paraId="27298833" w14:textId="77777777" w:rsidR="002173C9" w:rsidRDefault="002173C9" w:rsidP="002173C9">
      <w:pPr>
        <w:pStyle w:val="Sansinterligne"/>
        <w:tabs>
          <w:tab w:val="left" w:pos="4253"/>
        </w:tabs>
        <w:jc w:val="center"/>
        <w:rPr>
          <w:rFonts w:asciiTheme="majorHAnsi" w:eastAsia="Arial" w:hAnsiTheme="majorHAnsi" w:cstheme="majorHAnsi"/>
          <w:bCs/>
          <w:sz w:val="24"/>
          <w:szCs w:val="24"/>
          <w:lang w:eastAsia="fr-FR"/>
        </w:rPr>
      </w:pPr>
      <w:r w:rsidRPr="002173C9">
        <w:rPr>
          <w:rFonts w:asciiTheme="majorHAnsi" w:eastAsia="Arial" w:hAnsiTheme="majorHAnsi" w:cstheme="majorHAnsi"/>
          <w:bCs/>
          <w:sz w:val="24"/>
          <w:szCs w:val="24"/>
          <w:lang w:eastAsia="fr-FR"/>
        </w:rPr>
        <w:t xml:space="preserve">Garantie financière transaction : 140 000 € </w:t>
      </w:r>
    </w:p>
    <w:p w14:paraId="214378AA" w14:textId="77777777" w:rsidR="002173C9" w:rsidRPr="002173C9" w:rsidRDefault="002173C9" w:rsidP="002173C9">
      <w:pPr>
        <w:pStyle w:val="Sansinterligne"/>
        <w:tabs>
          <w:tab w:val="left" w:pos="4253"/>
        </w:tabs>
        <w:jc w:val="center"/>
        <w:rPr>
          <w:rFonts w:asciiTheme="majorHAnsi" w:eastAsia="Arial" w:hAnsiTheme="majorHAnsi" w:cstheme="majorHAnsi"/>
          <w:bCs/>
          <w:sz w:val="24"/>
          <w:szCs w:val="24"/>
          <w:lang w:eastAsia="fr-FR"/>
        </w:rPr>
      </w:pPr>
    </w:p>
    <w:p w14:paraId="7F5AD3EE" w14:textId="77777777" w:rsidR="002173C9" w:rsidRPr="002173C9" w:rsidRDefault="002173C9" w:rsidP="002173C9">
      <w:pPr>
        <w:pStyle w:val="Sansinterligne"/>
        <w:tabs>
          <w:tab w:val="left" w:pos="4253"/>
        </w:tabs>
        <w:jc w:val="center"/>
        <w:rPr>
          <w:rFonts w:ascii="Calibri" w:eastAsia="Times New Roman" w:hAnsi="Calibri" w:cs="Times New Roman"/>
          <w:b/>
          <w:i/>
          <w:iCs/>
          <w:color w:val="FF33CC"/>
          <w:sz w:val="24"/>
          <w:szCs w:val="24"/>
          <w:lang w:eastAsia="fr-FR"/>
        </w:rPr>
      </w:pPr>
      <w:r w:rsidRPr="002173C9">
        <w:rPr>
          <w:rFonts w:ascii="Calibri" w:eastAsia="Times New Roman" w:hAnsi="Calibri" w:cs="Times New Roman"/>
          <w:b/>
          <w:i/>
          <w:iCs/>
          <w:color w:val="FF33CC"/>
          <w:sz w:val="24"/>
          <w:szCs w:val="24"/>
          <w:lang w:eastAsia="fr-FR"/>
        </w:rPr>
        <w:t>Société juridiquement et financièrement indépendant</w:t>
      </w:r>
    </w:p>
    <w:p w14:paraId="2A987DF8" w14:textId="2616C9D1" w:rsidR="003817D9" w:rsidRPr="00233E80" w:rsidRDefault="00361575" w:rsidP="00233E80">
      <w:pPr>
        <w:tabs>
          <w:tab w:val="left" w:pos="6180"/>
        </w:tabs>
        <w:jc w:val="center"/>
        <w:rPr>
          <w:rFonts w:ascii="Calibri" w:eastAsia="Times New Roman" w:hAnsi="Calibri" w:cs="Times New Roman"/>
          <w:b/>
          <w:color w:val="FF33CC"/>
          <w:sz w:val="24"/>
          <w:lang w:val="fr-FR"/>
        </w:rPr>
      </w:pPr>
      <w:r w:rsidRPr="00361575">
        <w:rPr>
          <w:rFonts w:ascii="Calibri" w:eastAsia="Times New Roman" w:hAnsi="Calibri" w:cs="Times New Roman"/>
          <w:b/>
          <w:color w:val="FF33CC"/>
          <w:sz w:val="24"/>
          <w:lang w:val="fr-FR"/>
        </w:rPr>
        <w:t xml:space="preserve"> </w:t>
      </w:r>
    </w:p>
    <w:sectPr w:rsidR="003817D9" w:rsidRPr="00233E80">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ABF35" w14:textId="77777777" w:rsidR="00EE0556" w:rsidRDefault="00EE0556">
      <w:pPr>
        <w:spacing w:line="240" w:lineRule="auto"/>
      </w:pPr>
      <w:r>
        <w:separator/>
      </w:r>
    </w:p>
  </w:endnote>
  <w:endnote w:type="continuationSeparator" w:id="0">
    <w:p w14:paraId="38073515" w14:textId="77777777" w:rsidR="00EE0556" w:rsidRDefault="00EE0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9D5F3" w14:textId="77777777" w:rsidR="00EE0556" w:rsidRDefault="00EE0556">
      <w:pPr>
        <w:spacing w:line="240" w:lineRule="auto"/>
      </w:pPr>
      <w:r>
        <w:separator/>
      </w:r>
    </w:p>
  </w:footnote>
  <w:footnote w:type="continuationSeparator" w:id="0">
    <w:p w14:paraId="475462DE" w14:textId="77777777" w:rsidR="00EE0556" w:rsidRDefault="00EE0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2" w14:textId="77777777" w:rsidR="00E62205" w:rsidRDefault="00000000">
    <w:r>
      <w:pict w14:anchorId="01F17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8.1pt;height:845.6pt;z-index:-251658752;mso-position-horizontal:center;mso-position-horizontal-relative:margin;mso-position-vertical:center;mso-position-vertical-relative:margin">
          <v:imagedata r:id="rId1"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05"/>
    <w:rsid w:val="002173C9"/>
    <w:rsid w:val="00233E80"/>
    <w:rsid w:val="00361575"/>
    <w:rsid w:val="003817D9"/>
    <w:rsid w:val="0072592F"/>
    <w:rsid w:val="00B76794"/>
    <w:rsid w:val="00E62205"/>
    <w:rsid w:val="00EE0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0EC52"/>
  <w15:docId w15:val="{234F3734-83BC-4D97-97A2-E079D73C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Sansinterligne">
    <w:name w:val="No Spacing"/>
    <w:uiPriority w:val="1"/>
    <w:qFormat/>
    <w:rsid w:val="002173C9"/>
    <w:pPr>
      <w:spacing w:line="240" w:lineRule="auto"/>
    </w:pPr>
    <w:rPr>
      <w:rFonts w:asciiTheme="minorHAnsi" w:eastAsiaTheme="minorHAnsi" w:hAnsiTheme="minorHAnsi" w:cstheme="minorBidi"/>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1003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LALAURIE</dc:creator>
  <cp:lastModifiedBy>PC</cp:lastModifiedBy>
  <cp:revision>4</cp:revision>
  <dcterms:created xsi:type="dcterms:W3CDTF">2024-03-11T17:28:00Z</dcterms:created>
  <dcterms:modified xsi:type="dcterms:W3CDTF">2024-04-11T15:45:00Z</dcterms:modified>
</cp:coreProperties>
</file>