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9B185" w14:textId="2A96BC95" w:rsidR="00560D74" w:rsidRPr="00D147A1" w:rsidRDefault="00EF4FF4">
      <w:pPr>
        <w:rPr>
          <w:rFonts w:ascii="Marion Regular" w:hAnsi="Marion Regular"/>
        </w:rPr>
      </w:pPr>
      <w:r w:rsidRPr="00D147A1">
        <w:rPr>
          <w:rFonts w:ascii="Marion Regular" w:hAnsi="Marion Regular"/>
          <w:noProof/>
        </w:rPr>
        <w:drawing>
          <wp:anchor distT="0" distB="0" distL="114300" distR="114300" simplePos="0" relativeHeight="251658240" behindDoc="0" locked="0" layoutInCell="1" allowOverlap="1" wp14:anchorId="6FDA30C9" wp14:editId="42B843D6">
            <wp:simplePos x="0" y="0"/>
            <wp:positionH relativeFrom="margin">
              <wp:posOffset>1600200</wp:posOffset>
            </wp:positionH>
            <wp:positionV relativeFrom="margin">
              <wp:posOffset>-114300</wp:posOffset>
            </wp:positionV>
            <wp:extent cx="3204210" cy="1728470"/>
            <wp:effectExtent l="0" t="0" r="0" b="0"/>
            <wp:wrapSquare wrapText="bothSides"/>
            <wp:docPr id="1" name="Image 1" descr="Macintosh HD:Users:laurent:Desktop:LOGOS:Logo couleur_Plan de travai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ent:Desktop:LOGOS:Logo couleur_Plan de travail 1.png"/>
                    <pic:cNvPicPr>
                      <a:picLocks noChangeAspect="1" noChangeArrowheads="1"/>
                    </pic:cNvPicPr>
                  </pic:nvPicPr>
                  <pic:blipFill rotWithShape="1">
                    <a:blip r:embed="rId6">
                      <a:extLst>
                        <a:ext uri="{28A0092B-C50C-407E-A947-70E740481C1C}">
                          <a14:useLocalDpi xmlns:a14="http://schemas.microsoft.com/office/drawing/2010/main" val="0"/>
                        </a:ext>
                      </a:extLst>
                    </a:blip>
                    <a:srcRect l="-3759" t="18649" r="-7797" b="13919"/>
                    <a:stretch/>
                  </pic:blipFill>
                  <pic:spPr bwMode="auto">
                    <a:xfrm>
                      <a:off x="0" y="0"/>
                      <a:ext cx="3204210" cy="17284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6C0C2A" w14:textId="31DEB59F" w:rsidR="00560D74" w:rsidRPr="00D147A1" w:rsidRDefault="00560D74" w:rsidP="00560D74">
      <w:pPr>
        <w:rPr>
          <w:rFonts w:ascii="Marion Regular" w:hAnsi="Marion Regular"/>
        </w:rPr>
      </w:pPr>
    </w:p>
    <w:p w14:paraId="64034D1F" w14:textId="77777777" w:rsidR="00560D74" w:rsidRPr="00D147A1" w:rsidRDefault="00560D74" w:rsidP="00560D74">
      <w:pPr>
        <w:rPr>
          <w:rFonts w:ascii="Marion Regular" w:hAnsi="Marion Regular"/>
        </w:rPr>
      </w:pPr>
    </w:p>
    <w:p w14:paraId="6DB297F1" w14:textId="51EDCB22" w:rsidR="00560D74" w:rsidRPr="00D147A1" w:rsidRDefault="00560D74" w:rsidP="00560D74">
      <w:pPr>
        <w:rPr>
          <w:rFonts w:ascii="Marion Regular" w:hAnsi="Marion Regular"/>
        </w:rPr>
      </w:pPr>
    </w:p>
    <w:p w14:paraId="777BF827" w14:textId="77777777" w:rsidR="00560D74" w:rsidRPr="00D147A1" w:rsidRDefault="00560D74" w:rsidP="00560D74">
      <w:pPr>
        <w:rPr>
          <w:rFonts w:ascii="Marion Regular" w:hAnsi="Marion Regular"/>
        </w:rPr>
      </w:pPr>
    </w:p>
    <w:p w14:paraId="69EBD6E4" w14:textId="77777777" w:rsidR="00560D74" w:rsidRPr="00D147A1" w:rsidRDefault="00560D74" w:rsidP="00560D74">
      <w:pPr>
        <w:jc w:val="center"/>
        <w:rPr>
          <w:rFonts w:ascii="Marion Regular" w:hAnsi="Marion Regular"/>
        </w:rPr>
      </w:pPr>
    </w:p>
    <w:p w14:paraId="179FEA3B" w14:textId="77777777" w:rsidR="00560D74" w:rsidRPr="00D147A1" w:rsidRDefault="00560D74" w:rsidP="00560D74">
      <w:pPr>
        <w:jc w:val="center"/>
        <w:rPr>
          <w:rFonts w:ascii="Marion Regular" w:hAnsi="Marion Regular"/>
          <w:b/>
        </w:rPr>
      </w:pPr>
    </w:p>
    <w:p w14:paraId="2568B771" w14:textId="77777777" w:rsidR="003A6606" w:rsidRPr="00D147A1" w:rsidRDefault="003A6606" w:rsidP="00BC0F8B">
      <w:pPr>
        <w:rPr>
          <w:rFonts w:ascii="Marion Regular" w:hAnsi="Marion Regular"/>
          <w:b/>
          <w:sz w:val="18"/>
          <w:szCs w:val="18"/>
        </w:rPr>
      </w:pPr>
    </w:p>
    <w:p w14:paraId="3A5A056A" w14:textId="77777777" w:rsidR="00EF4FF4" w:rsidRPr="00D147A1" w:rsidRDefault="00EF4FF4" w:rsidP="00BC0F8B">
      <w:pPr>
        <w:rPr>
          <w:rFonts w:ascii="Marion Regular" w:hAnsi="Marion Regular"/>
          <w:b/>
          <w:sz w:val="18"/>
          <w:szCs w:val="18"/>
        </w:rPr>
      </w:pPr>
    </w:p>
    <w:p w14:paraId="3D52216C" w14:textId="77777777" w:rsidR="003A6606" w:rsidRPr="00D147A1" w:rsidRDefault="003A6606" w:rsidP="00BC0F8B">
      <w:pPr>
        <w:rPr>
          <w:rFonts w:ascii="Marion Regular" w:hAnsi="Marion Regular"/>
          <w:b/>
          <w:sz w:val="18"/>
          <w:szCs w:val="18"/>
        </w:rPr>
      </w:pPr>
    </w:p>
    <w:p w14:paraId="12D90EFE" w14:textId="77777777" w:rsidR="003A6606" w:rsidRPr="00D147A1" w:rsidRDefault="003A6606" w:rsidP="00BC0F8B">
      <w:pPr>
        <w:rPr>
          <w:rFonts w:ascii="Marion Regular" w:hAnsi="Marion Regular"/>
          <w:b/>
          <w:sz w:val="18"/>
          <w:szCs w:val="18"/>
        </w:rPr>
      </w:pPr>
    </w:p>
    <w:p w14:paraId="7E7DD05D" w14:textId="77777777" w:rsidR="00D147A1" w:rsidRDefault="00D147A1" w:rsidP="00D147A1">
      <w:pPr>
        <w:rPr>
          <w:rFonts w:ascii="Marion Regular" w:hAnsi="Marion Regular"/>
          <w:color w:val="1A8A7F"/>
          <w:sz w:val="40"/>
          <w:szCs w:val="40"/>
        </w:rPr>
      </w:pPr>
    </w:p>
    <w:p w14:paraId="69182764" w14:textId="00DC2176" w:rsidR="00271211" w:rsidRPr="00D147A1" w:rsidRDefault="00D147A1" w:rsidP="00D147A1">
      <w:pPr>
        <w:jc w:val="center"/>
        <w:rPr>
          <w:rFonts w:ascii="Marion Regular" w:hAnsi="Marion Regular"/>
          <w:color w:val="1A8A7F"/>
          <w:sz w:val="40"/>
          <w:szCs w:val="40"/>
        </w:rPr>
      </w:pPr>
      <w:r w:rsidRPr="00D147A1">
        <w:rPr>
          <w:rFonts w:ascii="Marion Regular" w:hAnsi="Marion Regular"/>
          <w:color w:val="1A8A7F"/>
          <w:sz w:val="40"/>
          <w:szCs w:val="40"/>
        </w:rPr>
        <w:t>HONORAIRES DE TRANSACTION</w:t>
      </w:r>
    </w:p>
    <w:p w14:paraId="089E308F" w14:textId="77777777" w:rsidR="00BE165F" w:rsidRPr="00D147A1" w:rsidRDefault="00BE165F" w:rsidP="00BC0F8B">
      <w:pPr>
        <w:rPr>
          <w:rFonts w:ascii="Marion Regular" w:hAnsi="Marion Regular"/>
        </w:rPr>
      </w:pPr>
    </w:p>
    <w:tbl>
      <w:tblPr>
        <w:tblStyle w:val="Grille"/>
        <w:tblpPr w:leftFromText="141" w:rightFromText="141" w:vertAnchor="page" w:horzAnchor="page" w:tblpX="1140" w:tblpY="4490"/>
        <w:tblW w:w="9772" w:type="dxa"/>
        <w:tblLook w:val="04A0" w:firstRow="1" w:lastRow="0" w:firstColumn="1" w:lastColumn="0" w:noHBand="0" w:noVBand="1"/>
      </w:tblPr>
      <w:tblGrid>
        <w:gridCol w:w="2443"/>
        <w:gridCol w:w="2443"/>
        <w:gridCol w:w="2443"/>
        <w:gridCol w:w="2443"/>
      </w:tblGrid>
      <w:tr w:rsidR="00D147A1" w:rsidRPr="00D147A1" w14:paraId="22448151" w14:textId="77777777" w:rsidTr="00D147A1">
        <w:tc>
          <w:tcPr>
            <w:tcW w:w="2443" w:type="dxa"/>
          </w:tcPr>
          <w:p w14:paraId="6E9ABD38" w14:textId="77777777" w:rsidR="00D147A1" w:rsidRPr="00D147A1" w:rsidRDefault="00D147A1" w:rsidP="00D147A1">
            <w:pPr>
              <w:ind w:firstLine="142"/>
              <w:jc w:val="center"/>
              <w:rPr>
                <w:rFonts w:ascii="Marion Regular" w:hAnsi="Marion Regular"/>
                <w:sz w:val="24"/>
                <w:szCs w:val="24"/>
              </w:rPr>
            </w:pPr>
          </w:p>
        </w:tc>
        <w:tc>
          <w:tcPr>
            <w:tcW w:w="4886" w:type="dxa"/>
            <w:gridSpan w:val="2"/>
          </w:tcPr>
          <w:p w14:paraId="415A109E" w14:textId="77777777" w:rsidR="00D147A1" w:rsidRPr="00D147A1" w:rsidRDefault="00D147A1" w:rsidP="00D147A1">
            <w:pPr>
              <w:jc w:val="center"/>
              <w:rPr>
                <w:rFonts w:ascii="Marion Regular" w:hAnsi="Marion Regular"/>
                <w:sz w:val="24"/>
                <w:szCs w:val="24"/>
              </w:rPr>
            </w:pPr>
            <w:r w:rsidRPr="00D147A1">
              <w:rPr>
                <w:rFonts w:ascii="Marion Regular" w:hAnsi="Marion Regular"/>
                <w:sz w:val="24"/>
                <w:szCs w:val="24"/>
              </w:rPr>
              <w:t>Prix de mise en vente (net vendeur)</w:t>
            </w:r>
          </w:p>
        </w:tc>
        <w:tc>
          <w:tcPr>
            <w:tcW w:w="2443" w:type="dxa"/>
          </w:tcPr>
          <w:p w14:paraId="373C603B" w14:textId="77777777" w:rsidR="00D147A1" w:rsidRPr="00D147A1" w:rsidRDefault="00D147A1" w:rsidP="00D147A1">
            <w:pPr>
              <w:jc w:val="center"/>
              <w:rPr>
                <w:rFonts w:ascii="Marion Regular" w:hAnsi="Marion Regular"/>
                <w:sz w:val="24"/>
                <w:szCs w:val="24"/>
              </w:rPr>
            </w:pPr>
            <w:r w:rsidRPr="00D147A1">
              <w:rPr>
                <w:rFonts w:ascii="Marion Regular" w:hAnsi="Marion Regular"/>
                <w:sz w:val="24"/>
                <w:szCs w:val="24"/>
              </w:rPr>
              <w:t>Honoraires TTC</w:t>
            </w:r>
          </w:p>
        </w:tc>
      </w:tr>
      <w:tr w:rsidR="00D147A1" w:rsidRPr="00D147A1" w14:paraId="38042FBD" w14:textId="77777777" w:rsidTr="00D147A1">
        <w:tc>
          <w:tcPr>
            <w:tcW w:w="2443" w:type="dxa"/>
          </w:tcPr>
          <w:p w14:paraId="3921B7A6" w14:textId="77777777" w:rsidR="00D147A1" w:rsidRPr="00D147A1" w:rsidRDefault="00D147A1" w:rsidP="00D147A1">
            <w:pPr>
              <w:jc w:val="center"/>
              <w:rPr>
                <w:rFonts w:ascii="Marion Regular" w:hAnsi="Marion Regular"/>
                <w:sz w:val="24"/>
                <w:szCs w:val="24"/>
              </w:rPr>
            </w:pPr>
            <w:r w:rsidRPr="00D147A1">
              <w:rPr>
                <w:rFonts w:ascii="Marion Regular" w:hAnsi="Marion Regular"/>
                <w:sz w:val="24"/>
                <w:szCs w:val="24"/>
              </w:rPr>
              <w:t>De</w:t>
            </w:r>
          </w:p>
        </w:tc>
        <w:tc>
          <w:tcPr>
            <w:tcW w:w="2443" w:type="dxa"/>
          </w:tcPr>
          <w:p w14:paraId="5D8F301F" w14:textId="77777777" w:rsidR="00D147A1" w:rsidRPr="00D147A1" w:rsidRDefault="00D147A1" w:rsidP="00D147A1">
            <w:pPr>
              <w:jc w:val="center"/>
              <w:rPr>
                <w:rFonts w:ascii="Marion Regular" w:hAnsi="Marion Regular"/>
                <w:sz w:val="24"/>
                <w:szCs w:val="24"/>
              </w:rPr>
            </w:pPr>
            <w:r w:rsidRPr="00D147A1">
              <w:rPr>
                <w:rFonts w:ascii="Marion Regular" w:hAnsi="Marion Regular"/>
                <w:sz w:val="24"/>
                <w:szCs w:val="24"/>
              </w:rPr>
              <w:t>0 Euro</w:t>
            </w:r>
          </w:p>
        </w:tc>
        <w:tc>
          <w:tcPr>
            <w:tcW w:w="2443" w:type="dxa"/>
          </w:tcPr>
          <w:p w14:paraId="593606C7" w14:textId="77777777" w:rsidR="00D147A1" w:rsidRPr="00D147A1" w:rsidRDefault="00D147A1" w:rsidP="00D147A1">
            <w:pPr>
              <w:jc w:val="center"/>
              <w:rPr>
                <w:rFonts w:ascii="Marion Regular" w:hAnsi="Marion Regular"/>
                <w:sz w:val="24"/>
                <w:szCs w:val="24"/>
              </w:rPr>
            </w:pPr>
            <w:r w:rsidRPr="00D147A1">
              <w:rPr>
                <w:rFonts w:ascii="Marion Regular" w:hAnsi="Marion Regular"/>
                <w:sz w:val="24"/>
                <w:szCs w:val="24"/>
              </w:rPr>
              <w:t>60 000 Euros</w:t>
            </w:r>
          </w:p>
        </w:tc>
        <w:tc>
          <w:tcPr>
            <w:tcW w:w="2443" w:type="dxa"/>
          </w:tcPr>
          <w:p w14:paraId="08AEE141" w14:textId="77777777" w:rsidR="00D147A1" w:rsidRPr="00D147A1" w:rsidRDefault="00D147A1" w:rsidP="00D147A1">
            <w:pPr>
              <w:jc w:val="center"/>
              <w:rPr>
                <w:rFonts w:ascii="Marion Regular" w:hAnsi="Marion Regular"/>
                <w:sz w:val="24"/>
                <w:szCs w:val="24"/>
              </w:rPr>
            </w:pPr>
            <w:r w:rsidRPr="00D147A1">
              <w:rPr>
                <w:rFonts w:ascii="Marion Regular" w:hAnsi="Marion Regular"/>
                <w:sz w:val="24"/>
                <w:szCs w:val="24"/>
              </w:rPr>
              <w:t>Forfait 5 000 Euros</w:t>
            </w:r>
          </w:p>
        </w:tc>
      </w:tr>
      <w:tr w:rsidR="00D147A1" w:rsidRPr="00D147A1" w14:paraId="2E7F443E" w14:textId="77777777" w:rsidTr="00D147A1">
        <w:tc>
          <w:tcPr>
            <w:tcW w:w="2443" w:type="dxa"/>
          </w:tcPr>
          <w:p w14:paraId="13A8372F" w14:textId="77777777" w:rsidR="00D147A1" w:rsidRPr="00D147A1" w:rsidRDefault="00D147A1" w:rsidP="00D147A1">
            <w:pPr>
              <w:jc w:val="center"/>
              <w:rPr>
                <w:rFonts w:ascii="Marion Regular" w:hAnsi="Marion Regular"/>
                <w:sz w:val="24"/>
                <w:szCs w:val="24"/>
              </w:rPr>
            </w:pPr>
            <w:r w:rsidRPr="00D147A1">
              <w:rPr>
                <w:rFonts w:ascii="Marion Regular" w:hAnsi="Marion Regular"/>
                <w:sz w:val="24"/>
                <w:szCs w:val="24"/>
              </w:rPr>
              <w:t>De</w:t>
            </w:r>
          </w:p>
        </w:tc>
        <w:tc>
          <w:tcPr>
            <w:tcW w:w="2443" w:type="dxa"/>
          </w:tcPr>
          <w:p w14:paraId="3759D187" w14:textId="77777777" w:rsidR="00D147A1" w:rsidRPr="00D147A1" w:rsidRDefault="00D147A1" w:rsidP="00D147A1">
            <w:pPr>
              <w:jc w:val="center"/>
              <w:rPr>
                <w:rFonts w:ascii="Marion Regular" w:hAnsi="Marion Regular"/>
                <w:sz w:val="24"/>
                <w:szCs w:val="24"/>
              </w:rPr>
            </w:pPr>
            <w:r w:rsidRPr="00D147A1">
              <w:rPr>
                <w:rFonts w:ascii="Marion Regular" w:hAnsi="Marion Regular"/>
                <w:sz w:val="24"/>
                <w:szCs w:val="24"/>
              </w:rPr>
              <w:t>60 001 Euros</w:t>
            </w:r>
          </w:p>
        </w:tc>
        <w:tc>
          <w:tcPr>
            <w:tcW w:w="2443" w:type="dxa"/>
          </w:tcPr>
          <w:p w14:paraId="0BC7FE84" w14:textId="77777777" w:rsidR="00D147A1" w:rsidRPr="00D147A1" w:rsidRDefault="00D147A1" w:rsidP="00D147A1">
            <w:pPr>
              <w:jc w:val="center"/>
              <w:rPr>
                <w:rFonts w:ascii="Marion Regular" w:hAnsi="Marion Regular"/>
                <w:sz w:val="24"/>
                <w:szCs w:val="24"/>
              </w:rPr>
            </w:pPr>
            <w:r w:rsidRPr="00D147A1">
              <w:rPr>
                <w:rFonts w:ascii="Marion Regular" w:hAnsi="Marion Regular"/>
                <w:sz w:val="24"/>
                <w:szCs w:val="24"/>
              </w:rPr>
              <w:t>100 000 Euros</w:t>
            </w:r>
          </w:p>
        </w:tc>
        <w:tc>
          <w:tcPr>
            <w:tcW w:w="2443" w:type="dxa"/>
          </w:tcPr>
          <w:p w14:paraId="127BB299" w14:textId="77777777" w:rsidR="00D147A1" w:rsidRPr="00D147A1" w:rsidRDefault="00D147A1" w:rsidP="00D147A1">
            <w:pPr>
              <w:jc w:val="center"/>
              <w:rPr>
                <w:rFonts w:ascii="Marion Regular" w:hAnsi="Marion Regular"/>
                <w:sz w:val="24"/>
                <w:szCs w:val="24"/>
              </w:rPr>
            </w:pPr>
            <w:r w:rsidRPr="00D147A1">
              <w:rPr>
                <w:rFonts w:ascii="Marion Regular" w:hAnsi="Marion Regular"/>
                <w:sz w:val="24"/>
                <w:szCs w:val="24"/>
              </w:rPr>
              <w:t>8 %</w:t>
            </w:r>
          </w:p>
        </w:tc>
      </w:tr>
      <w:tr w:rsidR="00D147A1" w:rsidRPr="00D147A1" w14:paraId="7B2BAD67" w14:textId="77777777" w:rsidTr="00D147A1">
        <w:tc>
          <w:tcPr>
            <w:tcW w:w="2443" w:type="dxa"/>
          </w:tcPr>
          <w:p w14:paraId="6369BBE3" w14:textId="77777777" w:rsidR="00D147A1" w:rsidRPr="00D147A1" w:rsidRDefault="00D147A1" w:rsidP="00D147A1">
            <w:pPr>
              <w:jc w:val="center"/>
              <w:rPr>
                <w:rFonts w:ascii="Marion Regular" w:hAnsi="Marion Regular"/>
                <w:sz w:val="24"/>
                <w:szCs w:val="24"/>
              </w:rPr>
            </w:pPr>
            <w:r w:rsidRPr="00D147A1">
              <w:rPr>
                <w:rFonts w:ascii="Marion Regular" w:hAnsi="Marion Regular"/>
                <w:sz w:val="24"/>
                <w:szCs w:val="24"/>
              </w:rPr>
              <w:t>De</w:t>
            </w:r>
          </w:p>
        </w:tc>
        <w:tc>
          <w:tcPr>
            <w:tcW w:w="2443" w:type="dxa"/>
          </w:tcPr>
          <w:p w14:paraId="6A59EA99" w14:textId="77777777" w:rsidR="00D147A1" w:rsidRPr="00D147A1" w:rsidRDefault="00D147A1" w:rsidP="00D147A1">
            <w:pPr>
              <w:jc w:val="center"/>
              <w:rPr>
                <w:rFonts w:ascii="Marion Regular" w:hAnsi="Marion Regular"/>
                <w:sz w:val="24"/>
                <w:szCs w:val="24"/>
              </w:rPr>
            </w:pPr>
            <w:r w:rsidRPr="00D147A1">
              <w:rPr>
                <w:rFonts w:ascii="Marion Regular" w:hAnsi="Marion Regular"/>
                <w:sz w:val="24"/>
                <w:szCs w:val="24"/>
              </w:rPr>
              <w:t>100 001 Euros</w:t>
            </w:r>
          </w:p>
        </w:tc>
        <w:tc>
          <w:tcPr>
            <w:tcW w:w="2443" w:type="dxa"/>
          </w:tcPr>
          <w:p w14:paraId="1689E872" w14:textId="77777777" w:rsidR="00D147A1" w:rsidRPr="00D147A1" w:rsidRDefault="00D147A1" w:rsidP="00D147A1">
            <w:pPr>
              <w:jc w:val="center"/>
              <w:rPr>
                <w:rFonts w:ascii="Marion Regular" w:hAnsi="Marion Regular"/>
                <w:sz w:val="24"/>
                <w:szCs w:val="24"/>
              </w:rPr>
            </w:pPr>
            <w:r w:rsidRPr="00D147A1">
              <w:rPr>
                <w:rFonts w:ascii="Marion Regular" w:hAnsi="Marion Regular"/>
                <w:sz w:val="24"/>
                <w:szCs w:val="24"/>
              </w:rPr>
              <w:t>180 000 Euros</w:t>
            </w:r>
          </w:p>
        </w:tc>
        <w:tc>
          <w:tcPr>
            <w:tcW w:w="2443" w:type="dxa"/>
          </w:tcPr>
          <w:p w14:paraId="43A7105E" w14:textId="77777777" w:rsidR="00D147A1" w:rsidRPr="00D147A1" w:rsidRDefault="00D147A1" w:rsidP="00D147A1">
            <w:pPr>
              <w:jc w:val="center"/>
              <w:rPr>
                <w:rFonts w:ascii="Marion Regular" w:hAnsi="Marion Regular"/>
                <w:sz w:val="24"/>
                <w:szCs w:val="24"/>
              </w:rPr>
            </w:pPr>
            <w:r w:rsidRPr="00D147A1">
              <w:rPr>
                <w:rFonts w:ascii="Marion Regular" w:hAnsi="Marion Regular"/>
                <w:sz w:val="24"/>
                <w:szCs w:val="24"/>
              </w:rPr>
              <w:t>7 %</w:t>
            </w:r>
          </w:p>
        </w:tc>
      </w:tr>
      <w:tr w:rsidR="00D147A1" w:rsidRPr="00D147A1" w14:paraId="24584DD6" w14:textId="77777777" w:rsidTr="00D147A1">
        <w:tc>
          <w:tcPr>
            <w:tcW w:w="2443" w:type="dxa"/>
          </w:tcPr>
          <w:p w14:paraId="55A83EA7" w14:textId="77777777" w:rsidR="00D147A1" w:rsidRPr="00D147A1" w:rsidRDefault="00D147A1" w:rsidP="00D147A1">
            <w:pPr>
              <w:jc w:val="center"/>
              <w:rPr>
                <w:rFonts w:ascii="Marion Regular" w:hAnsi="Marion Regular"/>
                <w:sz w:val="24"/>
                <w:szCs w:val="24"/>
              </w:rPr>
            </w:pPr>
            <w:r w:rsidRPr="00D147A1">
              <w:rPr>
                <w:rFonts w:ascii="Marion Regular" w:hAnsi="Marion Regular"/>
                <w:sz w:val="24"/>
                <w:szCs w:val="24"/>
              </w:rPr>
              <w:t>De</w:t>
            </w:r>
          </w:p>
        </w:tc>
        <w:tc>
          <w:tcPr>
            <w:tcW w:w="2443" w:type="dxa"/>
          </w:tcPr>
          <w:p w14:paraId="32787EC9" w14:textId="77777777" w:rsidR="00D147A1" w:rsidRPr="00D147A1" w:rsidRDefault="00D147A1" w:rsidP="00D147A1">
            <w:pPr>
              <w:jc w:val="center"/>
              <w:rPr>
                <w:rFonts w:ascii="Marion Regular" w:hAnsi="Marion Regular"/>
                <w:sz w:val="24"/>
                <w:szCs w:val="24"/>
              </w:rPr>
            </w:pPr>
            <w:r w:rsidRPr="00D147A1">
              <w:rPr>
                <w:rFonts w:ascii="Marion Regular" w:hAnsi="Marion Regular"/>
                <w:sz w:val="24"/>
                <w:szCs w:val="24"/>
              </w:rPr>
              <w:t>180 001 Euros</w:t>
            </w:r>
          </w:p>
        </w:tc>
        <w:tc>
          <w:tcPr>
            <w:tcW w:w="2443" w:type="dxa"/>
          </w:tcPr>
          <w:p w14:paraId="53A4B0FF" w14:textId="77777777" w:rsidR="00D147A1" w:rsidRPr="00D147A1" w:rsidRDefault="00D147A1" w:rsidP="00D147A1">
            <w:pPr>
              <w:jc w:val="center"/>
              <w:rPr>
                <w:rFonts w:ascii="Marion Regular" w:hAnsi="Marion Regular"/>
                <w:sz w:val="24"/>
                <w:szCs w:val="24"/>
              </w:rPr>
            </w:pPr>
            <w:r w:rsidRPr="00D147A1">
              <w:rPr>
                <w:rFonts w:ascii="Marion Regular" w:hAnsi="Marion Regular"/>
                <w:sz w:val="24"/>
                <w:szCs w:val="24"/>
              </w:rPr>
              <w:t>250 000 Euros</w:t>
            </w:r>
          </w:p>
        </w:tc>
        <w:tc>
          <w:tcPr>
            <w:tcW w:w="2443" w:type="dxa"/>
          </w:tcPr>
          <w:p w14:paraId="70270784" w14:textId="77777777" w:rsidR="00D147A1" w:rsidRPr="00D147A1" w:rsidRDefault="00D147A1" w:rsidP="00D147A1">
            <w:pPr>
              <w:jc w:val="center"/>
              <w:rPr>
                <w:rFonts w:ascii="Marion Regular" w:hAnsi="Marion Regular"/>
                <w:sz w:val="24"/>
                <w:szCs w:val="24"/>
              </w:rPr>
            </w:pPr>
            <w:r w:rsidRPr="00D147A1">
              <w:rPr>
                <w:rFonts w:ascii="Marion Regular" w:hAnsi="Marion Regular"/>
                <w:sz w:val="24"/>
                <w:szCs w:val="24"/>
              </w:rPr>
              <w:t>6 %</w:t>
            </w:r>
          </w:p>
        </w:tc>
      </w:tr>
      <w:tr w:rsidR="00D147A1" w:rsidRPr="00D147A1" w14:paraId="7905C2AD" w14:textId="77777777" w:rsidTr="00D147A1">
        <w:tc>
          <w:tcPr>
            <w:tcW w:w="2443" w:type="dxa"/>
          </w:tcPr>
          <w:p w14:paraId="6AAEE062" w14:textId="77777777" w:rsidR="00D147A1" w:rsidRPr="00D147A1" w:rsidRDefault="00D147A1" w:rsidP="00D147A1">
            <w:pPr>
              <w:jc w:val="center"/>
              <w:rPr>
                <w:rFonts w:ascii="Marion Regular" w:hAnsi="Marion Regular"/>
                <w:sz w:val="24"/>
                <w:szCs w:val="24"/>
              </w:rPr>
            </w:pPr>
            <w:r w:rsidRPr="00D147A1">
              <w:rPr>
                <w:rFonts w:ascii="Marion Regular" w:hAnsi="Marion Regular"/>
                <w:sz w:val="24"/>
                <w:szCs w:val="24"/>
              </w:rPr>
              <w:t>De</w:t>
            </w:r>
          </w:p>
        </w:tc>
        <w:tc>
          <w:tcPr>
            <w:tcW w:w="2443" w:type="dxa"/>
          </w:tcPr>
          <w:p w14:paraId="51E3010B" w14:textId="77777777" w:rsidR="00D147A1" w:rsidRPr="00D147A1" w:rsidRDefault="00D147A1" w:rsidP="00D147A1">
            <w:pPr>
              <w:jc w:val="center"/>
              <w:rPr>
                <w:rFonts w:ascii="Marion Regular" w:hAnsi="Marion Regular"/>
                <w:sz w:val="24"/>
                <w:szCs w:val="24"/>
              </w:rPr>
            </w:pPr>
            <w:r w:rsidRPr="00D147A1">
              <w:rPr>
                <w:rFonts w:ascii="Marion Regular" w:hAnsi="Marion Regular"/>
                <w:sz w:val="24"/>
                <w:szCs w:val="24"/>
              </w:rPr>
              <w:t>250 001 Euros</w:t>
            </w:r>
          </w:p>
        </w:tc>
        <w:tc>
          <w:tcPr>
            <w:tcW w:w="2443" w:type="dxa"/>
          </w:tcPr>
          <w:p w14:paraId="0CABDCFD" w14:textId="77777777" w:rsidR="00D147A1" w:rsidRPr="00D147A1" w:rsidRDefault="00D147A1" w:rsidP="00D147A1">
            <w:pPr>
              <w:jc w:val="center"/>
              <w:rPr>
                <w:rFonts w:ascii="Marion Regular" w:hAnsi="Marion Regular"/>
                <w:sz w:val="24"/>
                <w:szCs w:val="24"/>
              </w:rPr>
            </w:pPr>
            <w:r w:rsidRPr="00D147A1">
              <w:rPr>
                <w:rFonts w:ascii="Marion Regular" w:hAnsi="Marion Regular"/>
                <w:sz w:val="24"/>
                <w:szCs w:val="24"/>
              </w:rPr>
              <w:t>350 000 Euros</w:t>
            </w:r>
          </w:p>
        </w:tc>
        <w:tc>
          <w:tcPr>
            <w:tcW w:w="2443" w:type="dxa"/>
          </w:tcPr>
          <w:p w14:paraId="38498F28" w14:textId="77777777" w:rsidR="00D147A1" w:rsidRPr="00D147A1" w:rsidRDefault="00D147A1" w:rsidP="00D147A1">
            <w:pPr>
              <w:jc w:val="center"/>
              <w:rPr>
                <w:rFonts w:ascii="Marion Regular" w:hAnsi="Marion Regular"/>
                <w:sz w:val="24"/>
                <w:szCs w:val="24"/>
              </w:rPr>
            </w:pPr>
            <w:r w:rsidRPr="00D147A1">
              <w:rPr>
                <w:rFonts w:ascii="Marion Regular" w:hAnsi="Marion Regular"/>
                <w:sz w:val="24"/>
                <w:szCs w:val="24"/>
              </w:rPr>
              <w:t>5,5 %</w:t>
            </w:r>
          </w:p>
        </w:tc>
      </w:tr>
      <w:tr w:rsidR="00D147A1" w:rsidRPr="00D147A1" w14:paraId="292DB91B" w14:textId="77777777" w:rsidTr="00D147A1">
        <w:tc>
          <w:tcPr>
            <w:tcW w:w="2443" w:type="dxa"/>
          </w:tcPr>
          <w:p w14:paraId="6D0A5C2F" w14:textId="77777777" w:rsidR="00D147A1" w:rsidRPr="00D147A1" w:rsidRDefault="00D147A1" w:rsidP="00D147A1">
            <w:pPr>
              <w:jc w:val="center"/>
              <w:rPr>
                <w:rFonts w:ascii="Marion Regular" w:hAnsi="Marion Regular"/>
                <w:sz w:val="24"/>
                <w:szCs w:val="24"/>
              </w:rPr>
            </w:pPr>
            <w:r w:rsidRPr="00D147A1">
              <w:rPr>
                <w:rFonts w:ascii="Marion Regular" w:hAnsi="Marion Regular"/>
                <w:sz w:val="24"/>
                <w:szCs w:val="24"/>
              </w:rPr>
              <w:t>De</w:t>
            </w:r>
          </w:p>
        </w:tc>
        <w:tc>
          <w:tcPr>
            <w:tcW w:w="2443" w:type="dxa"/>
          </w:tcPr>
          <w:p w14:paraId="417F624C" w14:textId="77777777" w:rsidR="00D147A1" w:rsidRPr="00D147A1" w:rsidRDefault="00D147A1" w:rsidP="00D147A1">
            <w:pPr>
              <w:jc w:val="center"/>
              <w:rPr>
                <w:rFonts w:ascii="Marion Regular" w:hAnsi="Marion Regular"/>
                <w:sz w:val="24"/>
                <w:szCs w:val="24"/>
              </w:rPr>
            </w:pPr>
            <w:r w:rsidRPr="00D147A1">
              <w:rPr>
                <w:rFonts w:ascii="Marion Regular" w:hAnsi="Marion Regular"/>
                <w:sz w:val="24"/>
                <w:szCs w:val="24"/>
              </w:rPr>
              <w:t>350 001 Euros</w:t>
            </w:r>
          </w:p>
        </w:tc>
        <w:tc>
          <w:tcPr>
            <w:tcW w:w="2443" w:type="dxa"/>
          </w:tcPr>
          <w:p w14:paraId="4EEAD4C0" w14:textId="77777777" w:rsidR="00D147A1" w:rsidRPr="00D147A1" w:rsidRDefault="00D147A1" w:rsidP="00D147A1">
            <w:pPr>
              <w:jc w:val="center"/>
              <w:rPr>
                <w:rFonts w:ascii="Marion Regular" w:hAnsi="Marion Regular"/>
                <w:sz w:val="24"/>
                <w:szCs w:val="24"/>
              </w:rPr>
            </w:pPr>
            <w:r w:rsidRPr="00D147A1">
              <w:rPr>
                <w:rFonts w:ascii="Marion Regular" w:hAnsi="Marion Regular"/>
                <w:sz w:val="24"/>
                <w:szCs w:val="24"/>
              </w:rPr>
              <w:t>600 000 Euros</w:t>
            </w:r>
          </w:p>
        </w:tc>
        <w:tc>
          <w:tcPr>
            <w:tcW w:w="2443" w:type="dxa"/>
          </w:tcPr>
          <w:p w14:paraId="21F0AD1B" w14:textId="77777777" w:rsidR="00D147A1" w:rsidRPr="00D147A1" w:rsidRDefault="00D147A1" w:rsidP="00D147A1">
            <w:pPr>
              <w:jc w:val="center"/>
              <w:rPr>
                <w:rFonts w:ascii="Marion Regular" w:hAnsi="Marion Regular"/>
                <w:sz w:val="24"/>
                <w:szCs w:val="24"/>
              </w:rPr>
            </w:pPr>
            <w:r w:rsidRPr="00D147A1">
              <w:rPr>
                <w:rFonts w:ascii="Marion Regular" w:hAnsi="Marion Regular"/>
                <w:sz w:val="24"/>
                <w:szCs w:val="24"/>
              </w:rPr>
              <w:t>5 %</w:t>
            </w:r>
          </w:p>
        </w:tc>
      </w:tr>
    </w:tbl>
    <w:p w14:paraId="77D1853F" w14:textId="77777777" w:rsidR="00D147A1" w:rsidRDefault="00D147A1" w:rsidP="00D147A1">
      <w:pPr>
        <w:jc w:val="center"/>
        <w:rPr>
          <w:rFonts w:ascii="Marion Regular" w:hAnsi="Marion Regular"/>
          <w:b/>
          <w:sz w:val="18"/>
          <w:szCs w:val="18"/>
        </w:rPr>
      </w:pPr>
    </w:p>
    <w:p w14:paraId="5A23018C" w14:textId="77777777" w:rsidR="00D147A1" w:rsidRDefault="00D147A1" w:rsidP="00D147A1">
      <w:pPr>
        <w:jc w:val="center"/>
        <w:rPr>
          <w:rFonts w:ascii="Marion Regular" w:hAnsi="Marion Regular"/>
        </w:rPr>
      </w:pPr>
    </w:p>
    <w:tbl>
      <w:tblPr>
        <w:tblStyle w:val="Grille"/>
        <w:tblpPr w:leftFromText="141" w:rightFromText="141" w:vertAnchor="text" w:horzAnchor="page" w:tblpX="1140" w:tblpY="-164"/>
        <w:tblW w:w="9772" w:type="dxa"/>
        <w:tblLook w:val="04A0" w:firstRow="1" w:lastRow="0" w:firstColumn="1" w:lastColumn="0" w:noHBand="0" w:noVBand="1"/>
      </w:tblPr>
      <w:tblGrid>
        <w:gridCol w:w="9772"/>
      </w:tblGrid>
      <w:tr w:rsidR="00D147A1" w:rsidRPr="00D147A1" w14:paraId="713D342B" w14:textId="77777777" w:rsidTr="00D147A1">
        <w:tc>
          <w:tcPr>
            <w:tcW w:w="9772" w:type="dxa"/>
          </w:tcPr>
          <w:p w14:paraId="488A0060" w14:textId="77777777" w:rsidR="00D147A1" w:rsidRPr="00D147A1" w:rsidRDefault="00D147A1" w:rsidP="00D147A1">
            <w:pPr>
              <w:ind w:left="142" w:hanging="142"/>
              <w:jc w:val="center"/>
              <w:rPr>
                <w:rFonts w:ascii="Marion Regular" w:hAnsi="Marion Regular"/>
                <w:sz w:val="24"/>
                <w:szCs w:val="24"/>
              </w:rPr>
            </w:pPr>
            <w:r w:rsidRPr="00D147A1">
              <w:rPr>
                <w:rFonts w:ascii="Marion Regular" w:hAnsi="Marion Regular"/>
                <w:sz w:val="24"/>
                <w:szCs w:val="24"/>
              </w:rPr>
              <w:t>Au-delà de 600 001 Euros, les honoraires seront de 4,5% TTC du prix net vendeur</w:t>
            </w:r>
          </w:p>
        </w:tc>
      </w:tr>
    </w:tbl>
    <w:p w14:paraId="0BFF2F4E" w14:textId="77777777" w:rsidR="00D147A1" w:rsidRDefault="00D147A1" w:rsidP="00D147A1">
      <w:pPr>
        <w:jc w:val="center"/>
        <w:rPr>
          <w:rFonts w:ascii="Marion Regular" w:hAnsi="Marion Regular"/>
        </w:rPr>
      </w:pPr>
    </w:p>
    <w:p w14:paraId="34486CA5" w14:textId="77777777" w:rsidR="00271211" w:rsidRPr="00D147A1" w:rsidRDefault="00271211" w:rsidP="00D147A1">
      <w:pPr>
        <w:jc w:val="center"/>
        <w:rPr>
          <w:rFonts w:ascii="Marion Regular" w:hAnsi="Marion Regular"/>
        </w:rPr>
      </w:pPr>
      <w:r w:rsidRPr="00D147A1">
        <w:rPr>
          <w:rFonts w:ascii="Marion Regular" w:hAnsi="Marion Regular"/>
        </w:rPr>
        <w:t xml:space="preserve">Les honoraires sont à la charge du vendeur, sauf convention à titre </w:t>
      </w:r>
      <w:r w:rsidR="00A8139C" w:rsidRPr="00D147A1">
        <w:rPr>
          <w:rFonts w:ascii="Marion Regular" w:hAnsi="Marion Regular"/>
        </w:rPr>
        <w:t>exceptionnel.</w:t>
      </w:r>
    </w:p>
    <w:p w14:paraId="597CB421" w14:textId="614B9F3F" w:rsidR="00A8139C" w:rsidRPr="00D147A1" w:rsidRDefault="00A8139C" w:rsidP="00D147A1">
      <w:pPr>
        <w:jc w:val="center"/>
        <w:rPr>
          <w:rFonts w:ascii="Marion Regular" w:hAnsi="Marion Regular"/>
        </w:rPr>
      </w:pPr>
      <w:r w:rsidRPr="00D147A1">
        <w:rPr>
          <w:rFonts w:ascii="Marion Regular" w:hAnsi="Marion Regular"/>
        </w:rPr>
        <w:t xml:space="preserve">Propriété destinée à être </w:t>
      </w:r>
      <w:r w:rsidR="00867C4E" w:rsidRPr="00D147A1">
        <w:rPr>
          <w:rFonts w:ascii="Marion Regular" w:hAnsi="Marion Regular"/>
        </w:rPr>
        <w:t xml:space="preserve">divisée ou terrain à bâtir : 7 </w:t>
      </w:r>
      <w:r w:rsidRPr="00D147A1">
        <w:rPr>
          <w:rFonts w:ascii="Marion Regular" w:hAnsi="Marion Regular"/>
        </w:rPr>
        <w:t>%</w:t>
      </w:r>
      <w:r w:rsidR="00867C4E" w:rsidRPr="00D147A1">
        <w:rPr>
          <w:rFonts w:ascii="Marion Regular" w:hAnsi="Marion Regular"/>
        </w:rPr>
        <w:t xml:space="preserve"> </w:t>
      </w:r>
      <w:r w:rsidRPr="00D147A1">
        <w:rPr>
          <w:rFonts w:ascii="Marion Regular" w:hAnsi="Marion Regular"/>
        </w:rPr>
        <w:t>du prix de vente.</w:t>
      </w:r>
    </w:p>
    <w:p w14:paraId="20174D0D" w14:textId="3BAF79B2" w:rsidR="00A8139C" w:rsidRPr="00D147A1" w:rsidRDefault="00A8139C" w:rsidP="00D147A1">
      <w:pPr>
        <w:jc w:val="center"/>
        <w:rPr>
          <w:rFonts w:ascii="Marion Regular" w:hAnsi="Marion Regular"/>
        </w:rPr>
      </w:pPr>
      <w:r w:rsidRPr="00D147A1">
        <w:rPr>
          <w:rFonts w:ascii="Marion Regular" w:hAnsi="Marion Regular"/>
        </w:rPr>
        <w:t>En cas de prise en charge des frais de division des propriétés par l’agence le barème sera augmenté de 3500 Euros</w:t>
      </w:r>
      <w:r w:rsidR="00D147A1">
        <w:rPr>
          <w:rFonts w:ascii="Marion Regular" w:hAnsi="Marion Regular"/>
        </w:rPr>
        <w:t>.</w:t>
      </w:r>
    </w:p>
    <w:p w14:paraId="38F3B740" w14:textId="77777777" w:rsidR="00852161" w:rsidRPr="00D147A1" w:rsidRDefault="00852161" w:rsidP="00852161">
      <w:pPr>
        <w:rPr>
          <w:rFonts w:ascii="Marion Regular" w:hAnsi="Marion Regular"/>
          <w:b/>
        </w:rPr>
      </w:pPr>
    </w:p>
    <w:tbl>
      <w:tblPr>
        <w:tblStyle w:val="Grille"/>
        <w:tblW w:w="9772" w:type="dxa"/>
        <w:tblInd w:w="250" w:type="dxa"/>
        <w:tblLook w:val="04A0" w:firstRow="1" w:lastRow="0" w:firstColumn="1" w:lastColumn="0" w:noHBand="0" w:noVBand="1"/>
      </w:tblPr>
      <w:tblGrid>
        <w:gridCol w:w="9772"/>
      </w:tblGrid>
      <w:tr w:rsidR="00852161" w:rsidRPr="00D147A1" w14:paraId="4C4363D7" w14:textId="77777777" w:rsidTr="003F2DEC">
        <w:tc>
          <w:tcPr>
            <w:tcW w:w="9772" w:type="dxa"/>
          </w:tcPr>
          <w:p w14:paraId="78C9EFAF" w14:textId="77777777" w:rsidR="00852161" w:rsidRPr="00D147A1" w:rsidRDefault="00852161" w:rsidP="003F2DEC">
            <w:pPr>
              <w:ind w:left="142" w:hanging="142"/>
              <w:jc w:val="center"/>
              <w:rPr>
                <w:rFonts w:ascii="Marion Regular" w:hAnsi="Marion Regular"/>
                <w:b/>
                <w:sz w:val="18"/>
                <w:szCs w:val="18"/>
              </w:rPr>
            </w:pPr>
          </w:p>
          <w:p w14:paraId="75FCF9D1" w14:textId="77777777" w:rsidR="00852161" w:rsidRPr="00D147A1" w:rsidRDefault="00852161" w:rsidP="00D147A1">
            <w:pPr>
              <w:jc w:val="both"/>
              <w:rPr>
                <w:rFonts w:ascii="Marion Regular" w:hAnsi="Marion Regular"/>
                <w:sz w:val="24"/>
                <w:szCs w:val="24"/>
              </w:rPr>
            </w:pPr>
            <w:r w:rsidRPr="00D147A1">
              <w:rPr>
                <w:rFonts w:ascii="Marion Regular" w:hAnsi="Marion Regular"/>
                <w:sz w:val="24"/>
                <w:szCs w:val="24"/>
              </w:rPr>
              <w:t>En cas de vente d’un bien ayant fait l’objet d’un inter-cabinet avec un confrère, le montant de la commission d’agence est déterminé non pas en application du barème de commission de notre agence, mais conformément aux termes du mandat conclu entre le vendeur du bien concerné et l’agence immobilière titulaire du mandat de vente.</w:t>
            </w:r>
          </w:p>
          <w:p w14:paraId="0508C0D7" w14:textId="77777777" w:rsidR="00852161" w:rsidRPr="00D147A1" w:rsidRDefault="00852161" w:rsidP="00D147A1">
            <w:pPr>
              <w:jc w:val="both"/>
              <w:rPr>
                <w:rFonts w:ascii="Marion Regular" w:hAnsi="Marion Regular"/>
                <w:sz w:val="24"/>
                <w:szCs w:val="24"/>
              </w:rPr>
            </w:pPr>
            <w:r w:rsidRPr="00D147A1">
              <w:rPr>
                <w:rFonts w:ascii="Marion Regular" w:hAnsi="Marion Regular"/>
                <w:sz w:val="24"/>
                <w:szCs w:val="24"/>
              </w:rPr>
              <w:t xml:space="preserve">Les honoraires initiaux déterminés librement entre les vendeurs seront partagés entre les agences.  </w:t>
            </w:r>
          </w:p>
          <w:p w14:paraId="3BDA9999" w14:textId="77777777" w:rsidR="00852161" w:rsidRPr="00D147A1" w:rsidRDefault="00852161" w:rsidP="00852161">
            <w:pPr>
              <w:rPr>
                <w:rFonts w:ascii="Marion Regular" w:hAnsi="Marion Regular"/>
                <w:b/>
                <w:sz w:val="18"/>
                <w:szCs w:val="18"/>
              </w:rPr>
            </w:pPr>
          </w:p>
        </w:tc>
      </w:tr>
    </w:tbl>
    <w:p w14:paraId="505A001A" w14:textId="77777777" w:rsidR="00852161" w:rsidRPr="00D147A1" w:rsidRDefault="00852161" w:rsidP="00560D74">
      <w:pPr>
        <w:jc w:val="center"/>
        <w:rPr>
          <w:rFonts w:ascii="Marion Regular" w:hAnsi="Marion Regular"/>
          <w:b/>
          <w:sz w:val="18"/>
          <w:szCs w:val="18"/>
        </w:rPr>
      </w:pPr>
    </w:p>
    <w:p w14:paraId="27C2CCD9" w14:textId="77777777" w:rsidR="00BC0F8B" w:rsidRPr="00D147A1" w:rsidRDefault="00BC0F8B" w:rsidP="00BC0F8B">
      <w:pPr>
        <w:jc w:val="center"/>
        <w:rPr>
          <w:rFonts w:ascii="Marion Regular" w:hAnsi="Marion Regular"/>
        </w:rPr>
      </w:pPr>
      <w:r w:rsidRPr="00D147A1">
        <w:rPr>
          <w:rFonts w:ascii="Marion Regular" w:hAnsi="Marion Regular"/>
        </w:rPr>
        <w:t>Barème d’honoraires à compter du 01 Novembre 2019</w:t>
      </w:r>
    </w:p>
    <w:p w14:paraId="77396DC8" w14:textId="77777777" w:rsidR="00BC0F8B" w:rsidRPr="00D147A1" w:rsidRDefault="00BC0F8B" w:rsidP="00BC0F8B">
      <w:pPr>
        <w:jc w:val="center"/>
        <w:rPr>
          <w:rFonts w:ascii="Marion Regular" w:hAnsi="Marion Regular"/>
        </w:rPr>
      </w:pPr>
      <w:r w:rsidRPr="00D147A1">
        <w:rPr>
          <w:rFonts w:ascii="Marion Regular" w:hAnsi="Marion Regular"/>
        </w:rPr>
        <w:t>Maisons, appartements, terrains et locaux professionnels</w:t>
      </w:r>
    </w:p>
    <w:p w14:paraId="71358066" w14:textId="77777777" w:rsidR="00BC0F8B" w:rsidRPr="00D147A1" w:rsidRDefault="00BC0F8B" w:rsidP="00BC0F8B">
      <w:pPr>
        <w:jc w:val="center"/>
        <w:rPr>
          <w:rFonts w:ascii="Marion Regular" w:hAnsi="Marion Regular"/>
          <w:b/>
          <w:sz w:val="18"/>
          <w:szCs w:val="18"/>
        </w:rPr>
      </w:pPr>
    </w:p>
    <w:p w14:paraId="2C8BB4E1" w14:textId="77777777" w:rsidR="00BC0F8B" w:rsidRPr="00D147A1" w:rsidRDefault="00BC0F8B" w:rsidP="00BC0F8B">
      <w:pPr>
        <w:rPr>
          <w:rFonts w:ascii="Marion Regular" w:hAnsi="Marion Regular"/>
          <w:color w:val="1A8A7F"/>
          <w:sz w:val="18"/>
          <w:szCs w:val="18"/>
        </w:rPr>
      </w:pPr>
    </w:p>
    <w:p w14:paraId="06A6DDE7" w14:textId="03C03C76" w:rsidR="00852161" w:rsidRPr="00D147A1" w:rsidRDefault="00D147A1" w:rsidP="00560D74">
      <w:pPr>
        <w:jc w:val="center"/>
        <w:rPr>
          <w:rFonts w:ascii="Marion Regular" w:hAnsi="Marion Regular"/>
          <w:color w:val="1A8A7F"/>
          <w:sz w:val="40"/>
          <w:szCs w:val="40"/>
        </w:rPr>
      </w:pPr>
      <w:r w:rsidRPr="00D147A1">
        <w:rPr>
          <w:rFonts w:ascii="Marion Regular" w:hAnsi="Marion Regular"/>
          <w:color w:val="1A8A7F"/>
          <w:sz w:val="40"/>
          <w:szCs w:val="40"/>
        </w:rPr>
        <w:t>HONORAIRES DE LOCATION / GESTION</w:t>
      </w:r>
    </w:p>
    <w:p w14:paraId="4A9BA94E" w14:textId="77777777" w:rsidR="00852161" w:rsidRPr="00D147A1" w:rsidRDefault="00852161" w:rsidP="00560D74">
      <w:pPr>
        <w:jc w:val="center"/>
        <w:rPr>
          <w:rFonts w:ascii="Marion Regular" w:hAnsi="Marion Regular"/>
          <w:b/>
          <w:sz w:val="18"/>
          <w:szCs w:val="18"/>
        </w:rPr>
      </w:pPr>
    </w:p>
    <w:p w14:paraId="69677FEC" w14:textId="77777777" w:rsidR="00B217DC" w:rsidRPr="00D147A1" w:rsidRDefault="00852161" w:rsidP="00560D74">
      <w:pPr>
        <w:jc w:val="center"/>
        <w:rPr>
          <w:rFonts w:ascii="Marion Regular" w:hAnsi="Marion Regular"/>
        </w:rPr>
      </w:pPr>
      <w:r w:rsidRPr="00D147A1">
        <w:rPr>
          <w:rFonts w:ascii="Marion Regular" w:hAnsi="Marion Regular"/>
        </w:rPr>
        <w:t xml:space="preserve">Le montant du plafond des honoraires </w:t>
      </w:r>
      <w:r w:rsidR="00B217DC" w:rsidRPr="00D147A1">
        <w:rPr>
          <w:rFonts w:ascii="Marion Regular" w:hAnsi="Marion Regular"/>
        </w:rPr>
        <w:t>par partie pour la visite, la constitution du dossier, et la rédaction du bail est fixé à un montant de 10 Euros / m2 de surface habitable.</w:t>
      </w:r>
    </w:p>
    <w:p w14:paraId="42A36896" w14:textId="77777777" w:rsidR="000447EB" w:rsidRPr="00D147A1" w:rsidRDefault="00B217DC" w:rsidP="00560D74">
      <w:pPr>
        <w:jc w:val="center"/>
        <w:rPr>
          <w:rFonts w:ascii="Marion Regular" w:hAnsi="Marion Regular"/>
        </w:rPr>
      </w:pPr>
      <w:r w:rsidRPr="00D147A1">
        <w:rPr>
          <w:rFonts w:ascii="Marion Regular" w:hAnsi="Marion Regular"/>
        </w:rPr>
        <w:t>Le montant du plafond d’honoraires par partie pour la réalisation de l’état de lieux est fixé à un montant de 3 Euros </w:t>
      </w:r>
      <w:r w:rsidR="000447EB" w:rsidRPr="00D147A1">
        <w:rPr>
          <w:rFonts w:ascii="Marion Regular" w:hAnsi="Marion Regular"/>
        </w:rPr>
        <w:t>/ m2 de surface habitable.</w:t>
      </w:r>
    </w:p>
    <w:p w14:paraId="11F012E5" w14:textId="368F8A9B" w:rsidR="00852161" w:rsidRPr="00D147A1" w:rsidRDefault="000447EB" w:rsidP="00560D74">
      <w:pPr>
        <w:jc w:val="center"/>
        <w:rPr>
          <w:rFonts w:ascii="Marion Regular" w:hAnsi="Marion Regular"/>
        </w:rPr>
      </w:pPr>
      <w:r w:rsidRPr="00D147A1">
        <w:rPr>
          <w:rFonts w:ascii="Marion Regular" w:hAnsi="Marion Regular"/>
        </w:rPr>
        <w:t>Les honoraires d’entremise et de négociation sont de 1</w:t>
      </w:r>
      <w:r w:rsidR="00BE165F" w:rsidRPr="00D147A1">
        <w:rPr>
          <w:rFonts w:ascii="Marion Regular" w:hAnsi="Marion Regular"/>
        </w:rPr>
        <w:t>00</w:t>
      </w:r>
      <w:r w:rsidRPr="00D147A1">
        <w:rPr>
          <w:rFonts w:ascii="Marion Regular" w:hAnsi="Marion Regular"/>
        </w:rPr>
        <w:t xml:space="preserve"> Euros TTC à la charge du propriétaire.</w:t>
      </w:r>
    </w:p>
    <w:p w14:paraId="7C7FB7B5" w14:textId="55DC6985" w:rsidR="00BC0F8B" w:rsidRPr="00D147A1" w:rsidRDefault="000447EB" w:rsidP="00D147A1">
      <w:pPr>
        <w:jc w:val="center"/>
        <w:rPr>
          <w:rFonts w:ascii="Marion Regular" w:hAnsi="Marion Regular"/>
        </w:rPr>
      </w:pPr>
      <w:r w:rsidRPr="00D147A1">
        <w:rPr>
          <w:rFonts w:ascii="Marion Regular" w:hAnsi="Marion Regular"/>
        </w:rPr>
        <w:t>Les honoraires de gestion sont de 6,5% HT du loyer et des charges encaissées.</w:t>
      </w:r>
    </w:p>
    <w:tbl>
      <w:tblPr>
        <w:tblStyle w:val="Grille"/>
        <w:tblpPr w:leftFromText="141" w:rightFromText="141" w:vertAnchor="text" w:horzAnchor="page" w:tblpX="1108" w:tblpY="335"/>
        <w:tblW w:w="9772" w:type="dxa"/>
        <w:tblLook w:val="04A0" w:firstRow="1" w:lastRow="0" w:firstColumn="1" w:lastColumn="0" w:noHBand="0" w:noVBand="1"/>
      </w:tblPr>
      <w:tblGrid>
        <w:gridCol w:w="9772"/>
      </w:tblGrid>
      <w:tr w:rsidR="000447EB" w:rsidRPr="00D147A1" w14:paraId="78149A8F" w14:textId="77777777" w:rsidTr="003F2DEC">
        <w:tc>
          <w:tcPr>
            <w:tcW w:w="9772" w:type="dxa"/>
          </w:tcPr>
          <w:p w14:paraId="4AB7A299" w14:textId="77777777" w:rsidR="000447EB" w:rsidRPr="00D147A1" w:rsidRDefault="000447EB" w:rsidP="003F2DEC">
            <w:pPr>
              <w:jc w:val="center"/>
              <w:rPr>
                <w:rFonts w:ascii="Marion Regular" w:hAnsi="Marion Regular"/>
                <w:sz w:val="24"/>
                <w:szCs w:val="24"/>
              </w:rPr>
            </w:pPr>
            <w:r w:rsidRPr="00D147A1">
              <w:rPr>
                <w:rFonts w:ascii="Marion Regular" w:hAnsi="Marion Regular"/>
                <w:color w:val="1A8A7F"/>
                <w:sz w:val="24"/>
                <w:szCs w:val="24"/>
              </w:rPr>
              <w:t>SARL GREEN PLACE IMMOBILIER</w:t>
            </w:r>
            <w:r w:rsidRPr="00D147A1">
              <w:rPr>
                <w:rFonts w:ascii="Marion Regular" w:hAnsi="Marion Regular"/>
                <w:sz w:val="24"/>
                <w:szCs w:val="24"/>
              </w:rPr>
              <w:t xml:space="preserve"> au capital de 1000 Euros</w:t>
            </w:r>
          </w:p>
          <w:p w14:paraId="01E5AD90" w14:textId="430D2F78" w:rsidR="000447EB" w:rsidRPr="00D147A1" w:rsidRDefault="000447EB" w:rsidP="003F2DEC">
            <w:pPr>
              <w:jc w:val="center"/>
              <w:rPr>
                <w:rFonts w:ascii="Marion Regular" w:hAnsi="Marion Regular"/>
                <w:sz w:val="24"/>
                <w:szCs w:val="24"/>
              </w:rPr>
            </w:pPr>
            <w:r w:rsidRPr="00D147A1">
              <w:rPr>
                <w:rFonts w:ascii="Marion Regular" w:hAnsi="Marion Regular"/>
                <w:sz w:val="24"/>
                <w:szCs w:val="24"/>
              </w:rPr>
              <w:t xml:space="preserve">Carte professionnelle : Transaction </w:t>
            </w:r>
            <w:r w:rsidR="00867C4E" w:rsidRPr="00D147A1">
              <w:rPr>
                <w:rFonts w:ascii="Marion Regular" w:hAnsi="Marion Regular"/>
                <w:sz w:val="24"/>
                <w:szCs w:val="24"/>
              </w:rPr>
              <w:t>et Gestion</w:t>
            </w:r>
          </w:p>
          <w:p w14:paraId="634028F4" w14:textId="77777777" w:rsidR="000447EB" w:rsidRPr="00D147A1" w:rsidRDefault="000447EB" w:rsidP="003F2DEC">
            <w:pPr>
              <w:jc w:val="center"/>
              <w:rPr>
                <w:rFonts w:ascii="Marion Regular" w:hAnsi="Marion Regular"/>
                <w:sz w:val="24"/>
                <w:szCs w:val="24"/>
              </w:rPr>
            </w:pPr>
            <w:r w:rsidRPr="00D147A1">
              <w:rPr>
                <w:rFonts w:ascii="Marion Regular" w:hAnsi="Marion Regular"/>
                <w:sz w:val="24"/>
                <w:szCs w:val="24"/>
              </w:rPr>
              <w:t xml:space="preserve">Délivrée par la chambre de commerce et d’industrie de Bordeaux  </w:t>
            </w:r>
          </w:p>
          <w:p w14:paraId="2F7008F6" w14:textId="6722B064" w:rsidR="000447EB" w:rsidRPr="00D147A1" w:rsidRDefault="003F2DEC" w:rsidP="00867C4E">
            <w:pPr>
              <w:jc w:val="center"/>
              <w:rPr>
                <w:rFonts w:ascii="Marion Regular" w:hAnsi="Marion Regular"/>
                <w:b/>
                <w:sz w:val="18"/>
                <w:szCs w:val="18"/>
              </w:rPr>
            </w:pPr>
            <w:r w:rsidRPr="00D147A1">
              <w:rPr>
                <w:rFonts w:ascii="Marion Regular" w:hAnsi="Marion Regular"/>
                <w:sz w:val="24"/>
                <w:szCs w:val="24"/>
              </w:rPr>
              <w:t xml:space="preserve">Garantie financière : </w:t>
            </w:r>
            <w:r w:rsidR="00867C4E" w:rsidRPr="00D147A1">
              <w:rPr>
                <w:rFonts w:ascii="Marion Regular" w:hAnsi="Marion Regular"/>
                <w:sz w:val="24"/>
                <w:szCs w:val="24"/>
              </w:rPr>
              <w:t>GALIAN, pour un montant de 120 000 Euros</w:t>
            </w:r>
          </w:p>
        </w:tc>
        <w:bookmarkStart w:id="0" w:name="_GoBack"/>
        <w:bookmarkEnd w:id="0"/>
      </w:tr>
    </w:tbl>
    <w:p w14:paraId="497A4DF2" w14:textId="77777777" w:rsidR="000447EB" w:rsidRPr="00D147A1" w:rsidRDefault="000447EB" w:rsidP="003F2DEC">
      <w:pPr>
        <w:rPr>
          <w:rFonts w:ascii="Marion Regular" w:hAnsi="Marion Regular"/>
          <w:b/>
          <w:sz w:val="18"/>
          <w:szCs w:val="18"/>
        </w:rPr>
      </w:pPr>
    </w:p>
    <w:sectPr w:rsidR="000447EB" w:rsidRPr="00D147A1" w:rsidSect="00D147A1">
      <w:pgSz w:w="11900" w:h="16840"/>
      <w:pgMar w:top="709" w:right="985"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G Times">
    <w:altName w:val="Times New Roman"/>
    <w:panose1 w:val="00000000000000000000"/>
    <w:charset w:val="00"/>
    <w:family w:val="roman"/>
    <w:notTrueType/>
    <w:pitch w:val="variable"/>
    <w:sig w:usb0="00000003" w:usb1="00000000" w:usb2="00000000" w:usb3="00000000" w:csb0="00000001" w:csb1="00000000"/>
  </w:font>
  <w:font w:name="Marion Regular">
    <w:panose1 w:val="02020502060400020003"/>
    <w:charset w:val="00"/>
    <w:family w:val="auto"/>
    <w:pitch w:val="variable"/>
    <w:sig w:usb0="A00000EF" w:usb1="5000205B" w:usb2="00000000" w:usb3="00000000" w:csb0="0000018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0F0"/>
    <w:rsid w:val="000072CA"/>
    <w:rsid w:val="000447EB"/>
    <w:rsid w:val="00271211"/>
    <w:rsid w:val="003A6606"/>
    <w:rsid w:val="003F2DEC"/>
    <w:rsid w:val="004E0709"/>
    <w:rsid w:val="00560D74"/>
    <w:rsid w:val="005F021B"/>
    <w:rsid w:val="00730A86"/>
    <w:rsid w:val="00852161"/>
    <w:rsid w:val="00867C4E"/>
    <w:rsid w:val="009F60F0"/>
    <w:rsid w:val="00A8139C"/>
    <w:rsid w:val="00B217DC"/>
    <w:rsid w:val="00BC0F8B"/>
    <w:rsid w:val="00BE165F"/>
    <w:rsid w:val="00C4182B"/>
    <w:rsid w:val="00CD789F"/>
    <w:rsid w:val="00D147A1"/>
    <w:rsid w:val="00EF4FF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A5D0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F60F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F60F0"/>
    <w:rPr>
      <w:rFonts w:ascii="Lucida Grande" w:hAnsi="Lucida Grande" w:cs="Lucida Grande"/>
      <w:sz w:val="18"/>
      <w:szCs w:val="18"/>
    </w:rPr>
  </w:style>
  <w:style w:type="paragraph" w:customStyle="1" w:styleId="Corpsdetextesolidaire">
    <w:name w:val="Corps de texte solidaire"/>
    <w:basedOn w:val="Corpsdetexte"/>
    <w:rsid w:val="00560D74"/>
  </w:style>
  <w:style w:type="table" w:styleId="Grille">
    <w:name w:val="Table Grid"/>
    <w:basedOn w:val="TableauNormal"/>
    <w:uiPriority w:val="39"/>
    <w:rsid w:val="00560D74"/>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99"/>
    <w:semiHidden/>
    <w:unhideWhenUsed/>
    <w:rsid w:val="00560D74"/>
    <w:pPr>
      <w:spacing w:after="120"/>
    </w:pPr>
  </w:style>
  <w:style w:type="character" w:customStyle="1" w:styleId="CorpsdetexteCar">
    <w:name w:val="Corps de texte Car"/>
    <w:basedOn w:val="Policepardfaut"/>
    <w:link w:val="Corpsdetexte"/>
    <w:uiPriority w:val="99"/>
    <w:semiHidden/>
    <w:rsid w:val="00560D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F60F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F60F0"/>
    <w:rPr>
      <w:rFonts w:ascii="Lucida Grande" w:hAnsi="Lucida Grande" w:cs="Lucida Grande"/>
      <w:sz w:val="18"/>
      <w:szCs w:val="18"/>
    </w:rPr>
  </w:style>
  <w:style w:type="paragraph" w:customStyle="1" w:styleId="Corpsdetextesolidaire">
    <w:name w:val="Corps de texte solidaire"/>
    <w:basedOn w:val="Corpsdetexte"/>
    <w:rsid w:val="00560D74"/>
  </w:style>
  <w:style w:type="table" w:styleId="Grille">
    <w:name w:val="Table Grid"/>
    <w:basedOn w:val="TableauNormal"/>
    <w:uiPriority w:val="39"/>
    <w:rsid w:val="00560D74"/>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99"/>
    <w:semiHidden/>
    <w:unhideWhenUsed/>
    <w:rsid w:val="00560D74"/>
    <w:pPr>
      <w:spacing w:after="120"/>
    </w:pPr>
  </w:style>
  <w:style w:type="character" w:customStyle="1" w:styleId="CorpsdetexteCar">
    <w:name w:val="Corps de texte Car"/>
    <w:basedOn w:val="Policepardfaut"/>
    <w:link w:val="Corpsdetexte"/>
    <w:uiPriority w:val="99"/>
    <w:semiHidden/>
    <w:rsid w:val="00560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DC743-F2B8-AE4D-9426-64BBB8520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304</Words>
  <Characters>1678</Characters>
  <Application>Microsoft Macintosh Word</Application>
  <DocSecurity>0</DocSecurity>
  <Lines>13</Lines>
  <Paragraphs>3</Paragraphs>
  <ScaleCrop>false</ScaleCrop>
  <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dc:creator>
  <cp:keywords/>
  <dc:description/>
  <cp:lastModifiedBy>laurent</cp:lastModifiedBy>
  <cp:revision>8</cp:revision>
  <dcterms:created xsi:type="dcterms:W3CDTF">2019-10-25T08:29:00Z</dcterms:created>
  <dcterms:modified xsi:type="dcterms:W3CDTF">2020-08-11T12:27:00Z</dcterms:modified>
</cp:coreProperties>
</file>