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5C" w:rsidRDefault="00A46A82" w:rsidP="00345F0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05426" cy="2205426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ncimm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26" cy="220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F08" w:rsidRDefault="00345F08" w:rsidP="00345F08">
      <w:pPr>
        <w:jc w:val="center"/>
        <w:rPr>
          <w:sz w:val="32"/>
          <w:szCs w:val="32"/>
        </w:rPr>
      </w:pPr>
    </w:p>
    <w:p w:rsidR="00A46A82" w:rsidRDefault="00A46A82" w:rsidP="00345F08">
      <w:pPr>
        <w:jc w:val="center"/>
        <w:rPr>
          <w:sz w:val="32"/>
          <w:szCs w:val="32"/>
        </w:rPr>
      </w:pPr>
      <w:r w:rsidRPr="00A46A82">
        <w:rPr>
          <w:sz w:val="32"/>
          <w:szCs w:val="32"/>
        </w:rPr>
        <w:t>Barème des honoraires de ventes Agencimmo.com</w:t>
      </w:r>
    </w:p>
    <w:p w:rsidR="00A46A82" w:rsidRDefault="00A46A82" w:rsidP="00A46A82">
      <w:pPr>
        <w:jc w:val="center"/>
        <w:rPr>
          <w:sz w:val="32"/>
          <w:szCs w:val="32"/>
        </w:rPr>
      </w:pPr>
    </w:p>
    <w:p w:rsidR="00345F08" w:rsidRDefault="00345F08" w:rsidP="00A46A82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4365"/>
      </w:tblGrid>
      <w:tr w:rsidR="00A46A82" w:rsidTr="00345F08">
        <w:tc>
          <w:tcPr>
            <w:tcW w:w="3114" w:type="dxa"/>
            <w:tcBorders>
              <w:bottom w:val="single" w:sz="4" w:space="0" w:color="auto"/>
            </w:tcBorders>
          </w:tcPr>
          <w:p w:rsidR="00A46A82" w:rsidRPr="00345F08" w:rsidRDefault="00A46A82" w:rsidP="00345F08">
            <w:pPr>
              <w:spacing w:before="240" w:after="120"/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345F08">
              <w:rPr>
                <w:color w:val="1F4E79" w:themeColor="accent1" w:themeShade="80"/>
                <w:sz w:val="32"/>
                <w:szCs w:val="32"/>
              </w:rPr>
              <w:t>Prix de vente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6A82" w:rsidRPr="00345F08" w:rsidRDefault="00740267" w:rsidP="00A46A82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345F08">
              <w:rPr>
                <w:color w:val="1F4E79" w:themeColor="accent1" w:themeShade="80"/>
                <w:sz w:val="32"/>
                <w:szCs w:val="32"/>
              </w:rPr>
              <w:t>Honoraires en %</w:t>
            </w:r>
          </w:p>
          <w:p w:rsidR="00740267" w:rsidRPr="00345F08" w:rsidRDefault="00740267" w:rsidP="00A46A82">
            <w:pPr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345F08">
              <w:rPr>
                <w:color w:val="1F4E79" w:themeColor="accent1" w:themeShade="80"/>
                <w:sz w:val="32"/>
                <w:szCs w:val="32"/>
              </w:rPr>
              <w:t>(TTC)</w:t>
            </w:r>
          </w:p>
        </w:tc>
        <w:tc>
          <w:tcPr>
            <w:tcW w:w="4365" w:type="dxa"/>
          </w:tcPr>
          <w:p w:rsidR="00A46A82" w:rsidRPr="00345F08" w:rsidRDefault="00740267" w:rsidP="00345F08">
            <w:pPr>
              <w:spacing w:before="240"/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345F08">
              <w:rPr>
                <w:color w:val="1F4E79" w:themeColor="accent1" w:themeShade="80"/>
                <w:sz w:val="32"/>
                <w:szCs w:val="32"/>
              </w:rPr>
              <w:t>Honoraires sur devis</w:t>
            </w:r>
          </w:p>
        </w:tc>
      </w:tr>
      <w:tr w:rsidR="00740267" w:rsidTr="00345F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2FE"/>
          </w:tcPr>
          <w:p w:rsidR="00740267" w:rsidRDefault="00740267" w:rsidP="00345F08">
            <w:pPr>
              <w:spacing w:before="24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1 € à 60 000€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2FE"/>
          </w:tcPr>
          <w:p w:rsidR="00740267" w:rsidRDefault="00740267" w:rsidP="00345F08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Montant forfaitaire de 6000€</w:t>
            </w:r>
          </w:p>
        </w:tc>
        <w:tc>
          <w:tcPr>
            <w:tcW w:w="4365" w:type="dxa"/>
            <w:vMerge w:val="restart"/>
            <w:tcBorders>
              <w:left w:val="single" w:sz="4" w:space="0" w:color="auto"/>
            </w:tcBorders>
            <w:shd w:val="clear" w:color="auto" w:fill="D6E2FE"/>
          </w:tcPr>
          <w:p w:rsidR="00740267" w:rsidRDefault="00740267" w:rsidP="00345F08">
            <w:pPr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Suite à l’étude de marché (notamment la prise en compte des potentiels de vente </w:t>
            </w:r>
            <w:r w:rsidR="00796868">
              <w:rPr>
                <w:sz w:val="24"/>
                <w:szCs w:val="24"/>
              </w:rPr>
              <w:t>du bien)</w:t>
            </w:r>
            <w:r>
              <w:rPr>
                <w:sz w:val="24"/>
                <w:szCs w:val="24"/>
              </w:rPr>
              <w:t xml:space="preserve"> le mandant et le mandataire s’entendent sur la signature et l’acceptation d’un devis inférieur au barème de référence. Ce devis peut s’exprimer en % ou être un montant forfaitaire. </w:t>
            </w:r>
          </w:p>
          <w:p w:rsidR="00740267" w:rsidRDefault="00740267" w:rsidP="00A46A82">
            <w:pPr>
              <w:jc w:val="center"/>
              <w:rPr>
                <w:sz w:val="24"/>
                <w:szCs w:val="24"/>
              </w:rPr>
            </w:pPr>
          </w:p>
          <w:p w:rsidR="00740267" w:rsidRPr="00345F08" w:rsidRDefault="00740267" w:rsidP="00A46A82">
            <w:pPr>
              <w:jc w:val="center"/>
              <w:rPr>
                <w:b/>
                <w:sz w:val="24"/>
                <w:szCs w:val="24"/>
              </w:rPr>
            </w:pPr>
            <w:r w:rsidRPr="00345F08">
              <w:rPr>
                <w:b/>
                <w:sz w:val="24"/>
                <w:szCs w:val="24"/>
              </w:rPr>
              <w:t>Dans tous les cas, le tarif ne pourra être inférieur à la moitié des honoraires de référence.</w:t>
            </w:r>
          </w:p>
          <w:p w:rsidR="00740267" w:rsidRDefault="00740267" w:rsidP="00A46A82">
            <w:pPr>
              <w:jc w:val="center"/>
              <w:rPr>
                <w:sz w:val="24"/>
                <w:szCs w:val="24"/>
              </w:rPr>
            </w:pPr>
          </w:p>
          <w:p w:rsidR="00740267" w:rsidRPr="00740267" w:rsidRDefault="00740267" w:rsidP="00A4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 accord interviendra en fonction des spécificités du marché local et des caractéristiques du bien proposé à la vente. Il devra être matérialisé par les signatures d’un devis et d’un mandat au tarif convenu dans le devis.</w:t>
            </w:r>
          </w:p>
        </w:tc>
      </w:tr>
      <w:tr w:rsidR="00740267" w:rsidTr="00345F0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267" w:rsidRDefault="00740267" w:rsidP="00345F08">
            <w:pPr>
              <w:spacing w:before="24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61 000€ à 100 000€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267" w:rsidRDefault="00740267" w:rsidP="00345F08">
            <w:pPr>
              <w:spacing w:before="240"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10%</w:t>
            </w:r>
          </w:p>
        </w:tc>
        <w:tc>
          <w:tcPr>
            <w:tcW w:w="4365" w:type="dxa"/>
            <w:vMerge/>
            <w:tcBorders>
              <w:left w:val="single" w:sz="4" w:space="0" w:color="auto"/>
            </w:tcBorders>
            <w:shd w:val="clear" w:color="auto" w:fill="D6E2FE"/>
          </w:tcPr>
          <w:p w:rsidR="00740267" w:rsidRDefault="00740267" w:rsidP="00A46A82">
            <w:pPr>
              <w:jc w:val="center"/>
              <w:rPr>
                <w:sz w:val="32"/>
                <w:szCs w:val="32"/>
              </w:rPr>
            </w:pPr>
          </w:p>
        </w:tc>
      </w:tr>
      <w:tr w:rsidR="00740267" w:rsidTr="00345F0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2FE"/>
          </w:tcPr>
          <w:p w:rsidR="00740267" w:rsidRDefault="00740267" w:rsidP="00345F08">
            <w:pPr>
              <w:spacing w:before="24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101 000€ à 145 000€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2FE"/>
          </w:tcPr>
          <w:p w:rsidR="00740267" w:rsidRDefault="00740267" w:rsidP="00345F08">
            <w:pPr>
              <w:spacing w:before="240"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8.5%</w:t>
            </w:r>
          </w:p>
        </w:tc>
        <w:tc>
          <w:tcPr>
            <w:tcW w:w="4365" w:type="dxa"/>
            <w:vMerge/>
            <w:tcBorders>
              <w:left w:val="single" w:sz="4" w:space="0" w:color="auto"/>
            </w:tcBorders>
            <w:shd w:val="clear" w:color="auto" w:fill="D6E2FE"/>
          </w:tcPr>
          <w:p w:rsidR="00740267" w:rsidRDefault="00740267" w:rsidP="00A46A82">
            <w:pPr>
              <w:jc w:val="center"/>
              <w:rPr>
                <w:sz w:val="32"/>
                <w:szCs w:val="32"/>
              </w:rPr>
            </w:pPr>
          </w:p>
        </w:tc>
      </w:tr>
      <w:tr w:rsidR="00740267" w:rsidTr="00345F0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267" w:rsidRDefault="00740267" w:rsidP="00345F08">
            <w:pPr>
              <w:spacing w:before="24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145 001€ à 200 000€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267" w:rsidRDefault="00740267" w:rsidP="00345F08">
            <w:pPr>
              <w:spacing w:before="240"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7%</w:t>
            </w:r>
          </w:p>
        </w:tc>
        <w:tc>
          <w:tcPr>
            <w:tcW w:w="4365" w:type="dxa"/>
            <w:vMerge/>
            <w:tcBorders>
              <w:left w:val="single" w:sz="4" w:space="0" w:color="auto"/>
            </w:tcBorders>
            <w:shd w:val="clear" w:color="auto" w:fill="D6E2FE"/>
          </w:tcPr>
          <w:p w:rsidR="00740267" w:rsidRDefault="00740267" w:rsidP="00A46A82">
            <w:pPr>
              <w:jc w:val="center"/>
              <w:rPr>
                <w:sz w:val="32"/>
                <w:szCs w:val="32"/>
              </w:rPr>
            </w:pPr>
          </w:p>
        </w:tc>
      </w:tr>
      <w:tr w:rsidR="00740267" w:rsidTr="00345F0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2FE"/>
          </w:tcPr>
          <w:p w:rsidR="00740267" w:rsidRDefault="00740267" w:rsidP="00345F08">
            <w:pPr>
              <w:spacing w:before="24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200 001€ à 300 000€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2FE"/>
          </w:tcPr>
          <w:p w:rsidR="00740267" w:rsidRDefault="00740267" w:rsidP="00345F08">
            <w:pPr>
              <w:spacing w:before="240"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6%</w:t>
            </w:r>
          </w:p>
        </w:tc>
        <w:tc>
          <w:tcPr>
            <w:tcW w:w="4365" w:type="dxa"/>
            <w:vMerge/>
            <w:tcBorders>
              <w:left w:val="single" w:sz="4" w:space="0" w:color="auto"/>
            </w:tcBorders>
            <w:shd w:val="clear" w:color="auto" w:fill="D6E2FE"/>
          </w:tcPr>
          <w:p w:rsidR="00740267" w:rsidRDefault="00740267" w:rsidP="00A46A82">
            <w:pPr>
              <w:jc w:val="center"/>
              <w:rPr>
                <w:sz w:val="32"/>
                <w:szCs w:val="32"/>
              </w:rPr>
            </w:pPr>
          </w:p>
        </w:tc>
      </w:tr>
      <w:tr w:rsidR="00740267" w:rsidTr="00345F0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267" w:rsidRDefault="00740267" w:rsidP="00345F08">
            <w:pPr>
              <w:spacing w:before="24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300 001€ à 600 000€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267" w:rsidRDefault="00740267" w:rsidP="00345F08">
            <w:pPr>
              <w:spacing w:before="240"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B26E6">
              <w:rPr>
                <w:sz w:val="32"/>
                <w:szCs w:val="32"/>
              </w:rPr>
              <w:t>.5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4365" w:type="dxa"/>
            <w:vMerge/>
            <w:tcBorders>
              <w:left w:val="single" w:sz="4" w:space="0" w:color="auto"/>
            </w:tcBorders>
            <w:shd w:val="clear" w:color="auto" w:fill="D6E2FE"/>
          </w:tcPr>
          <w:p w:rsidR="00740267" w:rsidRDefault="00740267" w:rsidP="00A46A82">
            <w:pPr>
              <w:jc w:val="center"/>
              <w:rPr>
                <w:sz w:val="32"/>
                <w:szCs w:val="32"/>
              </w:rPr>
            </w:pPr>
          </w:p>
        </w:tc>
      </w:tr>
      <w:tr w:rsidR="00740267" w:rsidTr="00345F08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2FE"/>
          </w:tcPr>
          <w:p w:rsidR="00740267" w:rsidRDefault="00740267" w:rsidP="00345F08">
            <w:pPr>
              <w:spacing w:before="24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+ 600 001€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2FE"/>
          </w:tcPr>
          <w:p w:rsidR="00740267" w:rsidRDefault="009B26E6" w:rsidP="00345F08">
            <w:pPr>
              <w:spacing w:before="240"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bookmarkStart w:id="0" w:name="_GoBack"/>
            <w:bookmarkEnd w:id="0"/>
            <w:r w:rsidR="00740267">
              <w:rPr>
                <w:sz w:val="32"/>
                <w:szCs w:val="32"/>
              </w:rPr>
              <w:t>%</w:t>
            </w:r>
          </w:p>
        </w:tc>
        <w:tc>
          <w:tcPr>
            <w:tcW w:w="4365" w:type="dxa"/>
            <w:vMerge/>
            <w:tcBorders>
              <w:left w:val="single" w:sz="4" w:space="0" w:color="auto"/>
            </w:tcBorders>
            <w:shd w:val="clear" w:color="auto" w:fill="D6E2FE"/>
          </w:tcPr>
          <w:p w:rsidR="00740267" w:rsidRDefault="00740267" w:rsidP="00A46A82">
            <w:pPr>
              <w:jc w:val="center"/>
              <w:rPr>
                <w:sz w:val="32"/>
                <w:szCs w:val="32"/>
              </w:rPr>
            </w:pPr>
          </w:p>
        </w:tc>
      </w:tr>
    </w:tbl>
    <w:p w:rsidR="00A46A82" w:rsidRPr="00A46A82" w:rsidRDefault="00A46A82" w:rsidP="00A46A82">
      <w:pPr>
        <w:jc w:val="center"/>
        <w:rPr>
          <w:sz w:val="32"/>
          <w:szCs w:val="32"/>
        </w:rPr>
      </w:pPr>
    </w:p>
    <w:sectPr w:rsidR="00A46A82" w:rsidRPr="00A46A82" w:rsidSect="00A4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E9"/>
    <w:rsid w:val="00345F08"/>
    <w:rsid w:val="00740267"/>
    <w:rsid w:val="00796868"/>
    <w:rsid w:val="008A085C"/>
    <w:rsid w:val="009B26E6"/>
    <w:rsid w:val="00A46A82"/>
    <w:rsid w:val="00C51594"/>
    <w:rsid w:val="00D028E9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6759-6415-440D-B992-6EF846ED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jaujard</dc:creator>
  <cp:keywords/>
  <dc:description/>
  <cp:lastModifiedBy>marie blaszczyk</cp:lastModifiedBy>
  <cp:revision>2</cp:revision>
  <cp:lastPrinted>2015-10-14T17:21:00Z</cp:lastPrinted>
  <dcterms:created xsi:type="dcterms:W3CDTF">2018-03-05T06:44:00Z</dcterms:created>
  <dcterms:modified xsi:type="dcterms:W3CDTF">2018-03-05T06:44:00Z</dcterms:modified>
</cp:coreProperties>
</file>