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1E7C" w14:textId="02D6CA23" w:rsidR="007814E2" w:rsidRPr="00550118" w:rsidRDefault="00550118" w:rsidP="007814E2">
      <w:pPr>
        <w:jc w:val="center"/>
        <w:rPr>
          <w:b/>
          <w:bCs/>
          <w:sz w:val="40"/>
          <w:szCs w:val="40"/>
        </w:rPr>
      </w:pPr>
      <w:r w:rsidRPr="00550118">
        <w:rPr>
          <w:b/>
          <w:bCs/>
          <w:sz w:val="40"/>
          <w:szCs w:val="40"/>
        </w:rPr>
        <w:t>HONORAIRES AGENCE</w:t>
      </w:r>
    </w:p>
    <w:p w14:paraId="051548BB" w14:textId="2EA0DC5F" w:rsidR="00550118" w:rsidRDefault="00550118" w:rsidP="007814E2">
      <w:pPr>
        <w:jc w:val="center"/>
        <w:rPr>
          <w:b/>
          <w:bCs/>
          <w:sz w:val="40"/>
          <w:szCs w:val="40"/>
        </w:rPr>
      </w:pPr>
      <w:r w:rsidRPr="00550118">
        <w:rPr>
          <w:b/>
          <w:bCs/>
          <w:sz w:val="40"/>
          <w:szCs w:val="40"/>
        </w:rPr>
        <w:t>Applicables au 1</w:t>
      </w:r>
      <w:r w:rsidRPr="00550118">
        <w:rPr>
          <w:b/>
          <w:bCs/>
          <w:sz w:val="40"/>
          <w:szCs w:val="40"/>
          <w:vertAlign w:val="superscript"/>
        </w:rPr>
        <w:t>er</w:t>
      </w:r>
      <w:r w:rsidRPr="00550118">
        <w:rPr>
          <w:b/>
          <w:bCs/>
          <w:sz w:val="40"/>
          <w:szCs w:val="40"/>
        </w:rPr>
        <w:t xml:space="preserve"> Avril 2022</w:t>
      </w:r>
    </w:p>
    <w:p w14:paraId="6C32E74D" w14:textId="77777777" w:rsidR="00972A30" w:rsidRPr="00550118" w:rsidRDefault="00972A30" w:rsidP="007814E2">
      <w:pPr>
        <w:jc w:val="center"/>
        <w:rPr>
          <w:b/>
          <w:bCs/>
          <w:sz w:val="40"/>
          <w:szCs w:val="40"/>
        </w:rPr>
      </w:pPr>
    </w:p>
    <w:p w14:paraId="5002BB4A" w14:textId="745BEA4D" w:rsidR="00550118" w:rsidRPr="00890733" w:rsidRDefault="00550118" w:rsidP="00972A30">
      <w:pPr>
        <w:jc w:val="center"/>
        <w:rPr>
          <w:i/>
          <w:iCs/>
          <w:sz w:val="28"/>
          <w:szCs w:val="28"/>
        </w:rPr>
      </w:pPr>
      <w:r w:rsidRPr="00890733">
        <w:rPr>
          <w:i/>
          <w:iCs/>
          <w:sz w:val="28"/>
          <w:szCs w:val="28"/>
        </w:rPr>
        <w:t xml:space="preserve">Ces honoraires doivent s’entendre comme une </w:t>
      </w:r>
      <w:r w:rsidRPr="006D7C6E">
        <w:rPr>
          <w:i/>
          <w:iCs/>
          <w:sz w:val="28"/>
          <w:szCs w:val="28"/>
          <w:highlight w:val="yellow"/>
        </w:rPr>
        <w:t>grille plafond</w:t>
      </w:r>
      <w:r w:rsidR="00972A30" w:rsidRPr="00890733">
        <w:rPr>
          <w:i/>
          <w:iCs/>
          <w:sz w:val="28"/>
          <w:szCs w:val="28"/>
        </w:rPr>
        <w:t xml:space="preserve"> comme l’exige l’arrêté du 26 janvier 2022, modifiant l’arrêté du 10 janvier 2017, publié au JO </w:t>
      </w:r>
      <w:r w:rsidR="00972A30" w:rsidRPr="006D7C6E">
        <w:rPr>
          <w:i/>
          <w:iCs/>
          <w:sz w:val="28"/>
          <w:szCs w:val="28"/>
        </w:rPr>
        <w:t>du 4 février 2022</w:t>
      </w:r>
      <w:r w:rsidRPr="006D7C6E">
        <w:rPr>
          <w:i/>
          <w:iCs/>
          <w:sz w:val="28"/>
          <w:szCs w:val="28"/>
        </w:rPr>
        <w:t xml:space="preserve"> </w:t>
      </w:r>
      <w:r w:rsidRPr="006D7C6E">
        <w:rPr>
          <w:b/>
          <w:bCs/>
          <w:i/>
          <w:iCs/>
          <w:sz w:val="28"/>
          <w:szCs w:val="28"/>
          <w:highlight w:val="yellow"/>
        </w:rPr>
        <w:t>il ne s’agit</w:t>
      </w:r>
      <w:r w:rsidR="00972A30" w:rsidRPr="006D7C6E">
        <w:rPr>
          <w:b/>
          <w:bCs/>
          <w:i/>
          <w:iCs/>
          <w:sz w:val="28"/>
          <w:szCs w:val="28"/>
          <w:highlight w:val="yellow"/>
        </w:rPr>
        <w:t xml:space="preserve"> donc</w:t>
      </w:r>
      <w:r w:rsidRPr="006D7C6E">
        <w:rPr>
          <w:b/>
          <w:bCs/>
          <w:i/>
          <w:iCs/>
          <w:sz w:val="28"/>
          <w:szCs w:val="28"/>
          <w:highlight w:val="yellow"/>
        </w:rPr>
        <w:t xml:space="preserve"> pas de nos prix </w:t>
      </w:r>
      <w:r w:rsidR="00972A30" w:rsidRPr="006D7C6E">
        <w:rPr>
          <w:b/>
          <w:bCs/>
          <w:i/>
          <w:iCs/>
          <w:sz w:val="28"/>
          <w:szCs w:val="28"/>
          <w:highlight w:val="yellow"/>
        </w:rPr>
        <w:t xml:space="preserve">réellement </w:t>
      </w:r>
      <w:r w:rsidRPr="006D7C6E">
        <w:rPr>
          <w:b/>
          <w:bCs/>
          <w:i/>
          <w:iCs/>
          <w:sz w:val="28"/>
          <w:szCs w:val="28"/>
          <w:highlight w:val="yellow"/>
        </w:rPr>
        <w:t>pratiqués.</w:t>
      </w:r>
    </w:p>
    <w:p w14:paraId="61B47FD0" w14:textId="64EECA04" w:rsidR="00550118" w:rsidRPr="00890733" w:rsidRDefault="00550118" w:rsidP="007814E2">
      <w:pPr>
        <w:jc w:val="center"/>
        <w:rPr>
          <w:i/>
          <w:iCs/>
          <w:sz w:val="28"/>
          <w:szCs w:val="28"/>
        </w:rPr>
      </w:pPr>
      <w:r w:rsidRPr="00890733">
        <w:rPr>
          <w:i/>
          <w:iCs/>
          <w:sz w:val="28"/>
          <w:szCs w:val="28"/>
        </w:rPr>
        <w:t>Chaque collaborateur tient à votre disposition sa grille d’honoraires adaptée à son secteur géographique afin de vous proposer l’offre la plus compétitive possible.</w:t>
      </w:r>
    </w:p>
    <w:tbl>
      <w:tblPr>
        <w:tblStyle w:val="Grilledutableau"/>
        <w:tblW w:w="0" w:type="auto"/>
        <w:jc w:val="center"/>
        <w:tblLook w:val="04A0" w:firstRow="1" w:lastRow="0" w:firstColumn="1" w:lastColumn="0" w:noHBand="0" w:noVBand="1"/>
      </w:tblPr>
      <w:tblGrid>
        <w:gridCol w:w="4531"/>
        <w:gridCol w:w="4531"/>
      </w:tblGrid>
      <w:tr w:rsidR="00550118" w14:paraId="33FC716A" w14:textId="77777777" w:rsidTr="00890733">
        <w:trPr>
          <w:jc w:val="center"/>
        </w:trPr>
        <w:tc>
          <w:tcPr>
            <w:tcW w:w="4531" w:type="dxa"/>
          </w:tcPr>
          <w:p w14:paraId="709CD18F" w14:textId="23B12F82" w:rsidR="00550118" w:rsidRPr="00972A30" w:rsidRDefault="00550118" w:rsidP="007814E2">
            <w:pPr>
              <w:jc w:val="center"/>
              <w:rPr>
                <w:b/>
                <w:bCs/>
                <w:i/>
                <w:iCs/>
                <w:sz w:val="28"/>
                <w:szCs w:val="28"/>
              </w:rPr>
            </w:pPr>
            <w:r w:rsidRPr="00972A30">
              <w:rPr>
                <w:b/>
                <w:bCs/>
                <w:i/>
                <w:iCs/>
                <w:sz w:val="28"/>
                <w:szCs w:val="28"/>
              </w:rPr>
              <w:t xml:space="preserve">Prix de vente </w:t>
            </w:r>
            <w:r w:rsidR="00972A30" w:rsidRPr="00972A30">
              <w:rPr>
                <w:b/>
                <w:bCs/>
                <w:i/>
                <w:iCs/>
                <w:sz w:val="28"/>
                <w:szCs w:val="28"/>
              </w:rPr>
              <w:t>sur immeuble</w:t>
            </w:r>
          </w:p>
        </w:tc>
        <w:tc>
          <w:tcPr>
            <w:tcW w:w="4531" w:type="dxa"/>
          </w:tcPr>
          <w:p w14:paraId="4B205F7F" w14:textId="4CFB1BD2" w:rsidR="00550118" w:rsidRPr="00972A30" w:rsidRDefault="00550118" w:rsidP="007814E2">
            <w:pPr>
              <w:jc w:val="center"/>
              <w:rPr>
                <w:b/>
                <w:bCs/>
                <w:i/>
                <w:iCs/>
                <w:sz w:val="28"/>
                <w:szCs w:val="28"/>
              </w:rPr>
            </w:pPr>
            <w:r w:rsidRPr="00972A30">
              <w:rPr>
                <w:b/>
                <w:bCs/>
                <w:i/>
                <w:iCs/>
                <w:sz w:val="28"/>
                <w:szCs w:val="28"/>
              </w:rPr>
              <w:t>Honoraires</w:t>
            </w:r>
            <w:r w:rsidR="006D7C6E">
              <w:rPr>
                <w:b/>
                <w:bCs/>
                <w:i/>
                <w:iCs/>
                <w:sz w:val="28"/>
                <w:szCs w:val="28"/>
              </w:rPr>
              <w:t xml:space="preserve"> ttc</w:t>
            </w:r>
          </w:p>
        </w:tc>
      </w:tr>
      <w:tr w:rsidR="00550118" w14:paraId="1E888638" w14:textId="77777777" w:rsidTr="00890733">
        <w:trPr>
          <w:jc w:val="center"/>
        </w:trPr>
        <w:tc>
          <w:tcPr>
            <w:tcW w:w="4531" w:type="dxa"/>
          </w:tcPr>
          <w:p w14:paraId="7697C705" w14:textId="62940534" w:rsidR="00550118" w:rsidRPr="00972A30" w:rsidRDefault="00550118" w:rsidP="007814E2">
            <w:pPr>
              <w:jc w:val="center"/>
              <w:rPr>
                <w:i/>
                <w:iCs/>
                <w:sz w:val="28"/>
                <w:szCs w:val="28"/>
              </w:rPr>
            </w:pPr>
            <w:r w:rsidRPr="00972A30">
              <w:rPr>
                <w:i/>
                <w:iCs/>
                <w:sz w:val="28"/>
                <w:szCs w:val="28"/>
              </w:rPr>
              <w:t>&lt; 100000€</w:t>
            </w:r>
          </w:p>
        </w:tc>
        <w:tc>
          <w:tcPr>
            <w:tcW w:w="4531" w:type="dxa"/>
          </w:tcPr>
          <w:p w14:paraId="37BB1104" w14:textId="0C98F24C" w:rsidR="00550118" w:rsidRPr="00972A30" w:rsidRDefault="00550118" w:rsidP="007814E2">
            <w:pPr>
              <w:jc w:val="center"/>
              <w:rPr>
                <w:i/>
                <w:iCs/>
                <w:sz w:val="28"/>
                <w:szCs w:val="28"/>
              </w:rPr>
            </w:pPr>
            <w:r w:rsidRPr="00972A30">
              <w:rPr>
                <w:i/>
                <w:iCs/>
                <w:sz w:val="28"/>
                <w:szCs w:val="28"/>
              </w:rPr>
              <w:t>10000€</w:t>
            </w:r>
          </w:p>
        </w:tc>
      </w:tr>
      <w:tr w:rsidR="00550118" w14:paraId="5226EE94" w14:textId="77777777" w:rsidTr="00890733">
        <w:trPr>
          <w:jc w:val="center"/>
        </w:trPr>
        <w:tc>
          <w:tcPr>
            <w:tcW w:w="4531" w:type="dxa"/>
          </w:tcPr>
          <w:p w14:paraId="7691DBEC" w14:textId="733EC3B6" w:rsidR="00550118" w:rsidRPr="00972A30" w:rsidRDefault="00550118" w:rsidP="00550118">
            <w:pPr>
              <w:jc w:val="center"/>
              <w:rPr>
                <w:i/>
                <w:iCs/>
                <w:sz w:val="28"/>
                <w:szCs w:val="28"/>
              </w:rPr>
            </w:pPr>
            <w:r w:rsidRPr="00972A30">
              <w:rPr>
                <w:i/>
                <w:iCs/>
                <w:sz w:val="28"/>
                <w:szCs w:val="28"/>
              </w:rPr>
              <w:t>100-150000€</w:t>
            </w:r>
          </w:p>
        </w:tc>
        <w:tc>
          <w:tcPr>
            <w:tcW w:w="4531" w:type="dxa"/>
          </w:tcPr>
          <w:p w14:paraId="54AED4CF" w14:textId="5D728513" w:rsidR="00550118" w:rsidRPr="00972A30" w:rsidRDefault="00972A30" w:rsidP="007814E2">
            <w:pPr>
              <w:jc w:val="center"/>
              <w:rPr>
                <w:i/>
                <w:iCs/>
                <w:sz w:val="28"/>
                <w:szCs w:val="28"/>
              </w:rPr>
            </w:pPr>
            <w:r w:rsidRPr="00972A30">
              <w:rPr>
                <w:i/>
                <w:iCs/>
                <w:sz w:val="28"/>
                <w:szCs w:val="28"/>
              </w:rPr>
              <w:t>15000€</w:t>
            </w:r>
          </w:p>
        </w:tc>
      </w:tr>
      <w:tr w:rsidR="00550118" w14:paraId="6775BA05" w14:textId="77777777" w:rsidTr="00890733">
        <w:trPr>
          <w:jc w:val="center"/>
        </w:trPr>
        <w:tc>
          <w:tcPr>
            <w:tcW w:w="4531" w:type="dxa"/>
          </w:tcPr>
          <w:p w14:paraId="3A9B7464" w14:textId="52104CA8" w:rsidR="00550118" w:rsidRPr="00972A30" w:rsidRDefault="00550118" w:rsidP="007814E2">
            <w:pPr>
              <w:jc w:val="center"/>
              <w:rPr>
                <w:i/>
                <w:iCs/>
                <w:sz w:val="28"/>
                <w:szCs w:val="28"/>
              </w:rPr>
            </w:pPr>
            <w:r w:rsidRPr="00972A30">
              <w:rPr>
                <w:i/>
                <w:iCs/>
                <w:sz w:val="28"/>
                <w:szCs w:val="28"/>
              </w:rPr>
              <w:t>150/200</w:t>
            </w:r>
            <w:r w:rsidR="00972A30" w:rsidRPr="00972A30">
              <w:rPr>
                <w:i/>
                <w:iCs/>
                <w:sz w:val="28"/>
                <w:szCs w:val="28"/>
              </w:rPr>
              <w:t>000€</w:t>
            </w:r>
          </w:p>
        </w:tc>
        <w:tc>
          <w:tcPr>
            <w:tcW w:w="4531" w:type="dxa"/>
          </w:tcPr>
          <w:p w14:paraId="78CCE4E2" w14:textId="664D4BC5" w:rsidR="00550118" w:rsidRPr="00972A30" w:rsidRDefault="00972A30" w:rsidP="007814E2">
            <w:pPr>
              <w:jc w:val="center"/>
              <w:rPr>
                <w:i/>
                <w:iCs/>
                <w:sz w:val="28"/>
                <w:szCs w:val="28"/>
              </w:rPr>
            </w:pPr>
            <w:r w:rsidRPr="00972A30">
              <w:rPr>
                <w:i/>
                <w:iCs/>
                <w:sz w:val="28"/>
                <w:szCs w:val="28"/>
              </w:rPr>
              <w:t>20000€</w:t>
            </w:r>
          </w:p>
        </w:tc>
      </w:tr>
      <w:tr w:rsidR="00550118" w14:paraId="1D51BFCB" w14:textId="77777777" w:rsidTr="00890733">
        <w:trPr>
          <w:jc w:val="center"/>
        </w:trPr>
        <w:tc>
          <w:tcPr>
            <w:tcW w:w="4531" w:type="dxa"/>
          </w:tcPr>
          <w:p w14:paraId="2A6E3ED7" w14:textId="20F381F9" w:rsidR="00550118" w:rsidRPr="00972A30" w:rsidRDefault="00972A30" w:rsidP="00890733">
            <w:pPr>
              <w:jc w:val="center"/>
              <w:rPr>
                <w:i/>
                <w:iCs/>
                <w:sz w:val="28"/>
                <w:szCs w:val="28"/>
              </w:rPr>
            </w:pPr>
            <w:r w:rsidRPr="00972A30">
              <w:rPr>
                <w:i/>
                <w:iCs/>
                <w:sz w:val="28"/>
                <w:szCs w:val="28"/>
              </w:rPr>
              <w:t>200-300000€</w:t>
            </w:r>
          </w:p>
        </w:tc>
        <w:tc>
          <w:tcPr>
            <w:tcW w:w="4531" w:type="dxa"/>
          </w:tcPr>
          <w:p w14:paraId="626D7C98" w14:textId="2F3EF782" w:rsidR="00550118" w:rsidRPr="00972A30" w:rsidRDefault="00972A30" w:rsidP="007814E2">
            <w:pPr>
              <w:jc w:val="center"/>
              <w:rPr>
                <w:i/>
                <w:iCs/>
                <w:sz w:val="28"/>
                <w:szCs w:val="28"/>
              </w:rPr>
            </w:pPr>
            <w:r w:rsidRPr="00972A30">
              <w:rPr>
                <w:i/>
                <w:iCs/>
                <w:sz w:val="28"/>
                <w:szCs w:val="28"/>
              </w:rPr>
              <w:t>30000€</w:t>
            </w:r>
          </w:p>
        </w:tc>
      </w:tr>
      <w:tr w:rsidR="00550118" w14:paraId="47DCA796" w14:textId="77777777" w:rsidTr="00890733">
        <w:trPr>
          <w:jc w:val="center"/>
        </w:trPr>
        <w:tc>
          <w:tcPr>
            <w:tcW w:w="4531" w:type="dxa"/>
          </w:tcPr>
          <w:p w14:paraId="643789CA" w14:textId="7976279B" w:rsidR="00550118" w:rsidRPr="00972A30" w:rsidRDefault="00972A30" w:rsidP="007814E2">
            <w:pPr>
              <w:jc w:val="center"/>
              <w:rPr>
                <w:i/>
                <w:iCs/>
                <w:sz w:val="28"/>
                <w:szCs w:val="28"/>
              </w:rPr>
            </w:pPr>
            <w:r w:rsidRPr="00972A30">
              <w:rPr>
                <w:i/>
                <w:iCs/>
                <w:sz w:val="28"/>
                <w:szCs w:val="28"/>
              </w:rPr>
              <w:t>300-400000€</w:t>
            </w:r>
          </w:p>
        </w:tc>
        <w:tc>
          <w:tcPr>
            <w:tcW w:w="4531" w:type="dxa"/>
          </w:tcPr>
          <w:p w14:paraId="41ADE951" w14:textId="125CB1C4" w:rsidR="00550118" w:rsidRPr="00972A30" w:rsidRDefault="00972A30" w:rsidP="007814E2">
            <w:pPr>
              <w:jc w:val="center"/>
              <w:rPr>
                <w:i/>
                <w:iCs/>
                <w:sz w:val="28"/>
                <w:szCs w:val="28"/>
              </w:rPr>
            </w:pPr>
            <w:r w:rsidRPr="00972A30">
              <w:rPr>
                <w:i/>
                <w:iCs/>
                <w:sz w:val="28"/>
                <w:szCs w:val="28"/>
              </w:rPr>
              <w:t>40000€</w:t>
            </w:r>
          </w:p>
        </w:tc>
      </w:tr>
      <w:tr w:rsidR="00550118" w14:paraId="7477C552" w14:textId="77777777" w:rsidTr="00890733">
        <w:trPr>
          <w:jc w:val="center"/>
        </w:trPr>
        <w:tc>
          <w:tcPr>
            <w:tcW w:w="4531" w:type="dxa"/>
          </w:tcPr>
          <w:p w14:paraId="7715F331" w14:textId="387762A8" w:rsidR="00550118" w:rsidRPr="00972A30" w:rsidRDefault="00972A30" w:rsidP="00972A30">
            <w:pPr>
              <w:jc w:val="center"/>
              <w:rPr>
                <w:i/>
                <w:iCs/>
                <w:sz w:val="28"/>
                <w:szCs w:val="28"/>
              </w:rPr>
            </w:pPr>
            <w:r w:rsidRPr="00972A30">
              <w:rPr>
                <w:i/>
                <w:iCs/>
                <w:sz w:val="28"/>
                <w:szCs w:val="28"/>
              </w:rPr>
              <w:t>&gt;400000€</w:t>
            </w:r>
          </w:p>
        </w:tc>
        <w:tc>
          <w:tcPr>
            <w:tcW w:w="4531" w:type="dxa"/>
          </w:tcPr>
          <w:p w14:paraId="201F8681" w14:textId="08978C42" w:rsidR="00550118" w:rsidRPr="00972A30" w:rsidRDefault="00613F27" w:rsidP="007814E2">
            <w:pPr>
              <w:jc w:val="center"/>
              <w:rPr>
                <w:i/>
                <w:iCs/>
                <w:sz w:val="28"/>
                <w:szCs w:val="28"/>
              </w:rPr>
            </w:pPr>
            <w:r>
              <w:rPr>
                <w:i/>
                <w:iCs/>
                <w:sz w:val="28"/>
                <w:szCs w:val="28"/>
              </w:rPr>
              <w:t>10%</w:t>
            </w:r>
          </w:p>
        </w:tc>
      </w:tr>
    </w:tbl>
    <w:p w14:paraId="37C8EDF2" w14:textId="77777777" w:rsidR="00550118" w:rsidRDefault="00550118" w:rsidP="007814E2">
      <w:pPr>
        <w:jc w:val="center"/>
        <w:rPr>
          <w:i/>
          <w:iCs/>
          <w:sz w:val="40"/>
          <w:szCs w:val="40"/>
        </w:rPr>
      </w:pPr>
    </w:p>
    <w:tbl>
      <w:tblPr>
        <w:tblStyle w:val="Grilledutableau"/>
        <w:tblW w:w="0" w:type="auto"/>
        <w:jc w:val="center"/>
        <w:tblLook w:val="04A0" w:firstRow="1" w:lastRow="0" w:firstColumn="1" w:lastColumn="0" w:noHBand="0" w:noVBand="1"/>
      </w:tblPr>
      <w:tblGrid>
        <w:gridCol w:w="4531"/>
        <w:gridCol w:w="4531"/>
      </w:tblGrid>
      <w:tr w:rsidR="00972A30" w14:paraId="650714EC" w14:textId="77777777" w:rsidTr="00890733">
        <w:trPr>
          <w:jc w:val="center"/>
        </w:trPr>
        <w:tc>
          <w:tcPr>
            <w:tcW w:w="4531" w:type="dxa"/>
          </w:tcPr>
          <w:p w14:paraId="62670543" w14:textId="61C0448D" w:rsidR="00972A30" w:rsidRPr="00972A30" w:rsidRDefault="00972A30" w:rsidP="007814E2">
            <w:pPr>
              <w:jc w:val="center"/>
              <w:rPr>
                <w:b/>
                <w:bCs/>
                <w:i/>
                <w:iCs/>
                <w:sz w:val="28"/>
                <w:szCs w:val="28"/>
              </w:rPr>
            </w:pPr>
            <w:r w:rsidRPr="00972A30">
              <w:rPr>
                <w:b/>
                <w:bCs/>
                <w:i/>
                <w:iCs/>
                <w:sz w:val="28"/>
                <w:szCs w:val="28"/>
              </w:rPr>
              <w:t>Transactions sur location</w:t>
            </w:r>
          </w:p>
        </w:tc>
        <w:tc>
          <w:tcPr>
            <w:tcW w:w="4531" w:type="dxa"/>
          </w:tcPr>
          <w:p w14:paraId="2541B69B" w14:textId="49F02319" w:rsidR="00972A30" w:rsidRPr="00972A30" w:rsidRDefault="00972A30" w:rsidP="007814E2">
            <w:pPr>
              <w:jc w:val="center"/>
              <w:rPr>
                <w:b/>
                <w:bCs/>
                <w:i/>
                <w:iCs/>
                <w:sz w:val="28"/>
                <w:szCs w:val="28"/>
              </w:rPr>
            </w:pPr>
            <w:r w:rsidRPr="00972A30">
              <w:rPr>
                <w:b/>
                <w:bCs/>
                <w:i/>
                <w:iCs/>
                <w:sz w:val="28"/>
                <w:szCs w:val="28"/>
              </w:rPr>
              <w:t>Charge bailleur ET locataire</w:t>
            </w:r>
          </w:p>
        </w:tc>
      </w:tr>
      <w:tr w:rsidR="00972A30" w14:paraId="058EB744" w14:textId="77777777" w:rsidTr="00890733">
        <w:trPr>
          <w:jc w:val="center"/>
        </w:trPr>
        <w:tc>
          <w:tcPr>
            <w:tcW w:w="4531" w:type="dxa"/>
          </w:tcPr>
          <w:p w14:paraId="5BBA9FEA" w14:textId="054F6AE8" w:rsidR="00972A30" w:rsidRPr="00972A30" w:rsidRDefault="00972A30" w:rsidP="007814E2">
            <w:pPr>
              <w:jc w:val="center"/>
              <w:rPr>
                <w:i/>
                <w:iCs/>
                <w:sz w:val="28"/>
                <w:szCs w:val="28"/>
              </w:rPr>
            </w:pPr>
            <w:r w:rsidRPr="00972A30">
              <w:rPr>
                <w:i/>
                <w:iCs/>
                <w:sz w:val="28"/>
                <w:szCs w:val="28"/>
              </w:rPr>
              <w:t>Rédaction de bail</w:t>
            </w:r>
          </w:p>
        </w:tc>
        <w:tc>
          <w:tcPr>
            <w:tcW w:w="4531" w:type="dxa"/>
          </w:tcPr>
          <w:p w14:paraId="2195A95A" w14:textId="035348E6" w:rsidR="00972A30" w:rsidRPr="00972A30" w:rsidRDefault="00972A30" w:rsidP="007814E2">
            <w:pPr>
              <w:jc w:val="center"/>
              <w:rPr>
                <w:i/>
                <w:iCs/>
                <w:sz w:val="28"/>
                <w:szCs w:val="28"/>
              </w:rPr>
            </w:pPr>
            <w:r>
              <w:rPr>
                <w:i/>
                <w:iCs/>
                <w:sz w:val="28"/>
                <w:szCs w:val="28"/>
              </w:rPr>
              <w:t>8€ / M²</w:t>
            </w:r>
            <w:r w:rsidR="006D7C6E">
              <w:rPr>
                <w:i/>
                <w:iCs/>
                <w:sz w:val="28"/>
                <w:szCs w:val="28"/>
              </w:rPr>
              <w:t xml:space="preserve"> ttc</w:t>
            </w:r>
          </w:p>
        </w:tc>
      </w:tr>
      <w:tr w:rsidR="00972A30" w14:paraId="366711B8" w14:textId="77777777" w:rsidTr="00890733">
        <w:trPr>
          <w:jc w:val="center"/>
        </w:trPr>
        <w:tc>
          <w:tcPr>
            <w:tcW w:w="4531" w:type="dxa"/>
          </w:tcPr>
          <w:p w14:paraId="4F196FD0" w14:textId="2FB0F81C" w:rsidR="00972A30" w:rsidRPr="00972A30" w:rsidRDefault="00972A30" w:rsidP="007814E2">
            <w:pPr>
              <w:jc w:val="center"/>
              <w:rPr>
                <w:i/>
                <w:iCs/>
                <w:sz w:val="28"/>
                <w:szCs w:val="28"/>
              </w:rPr>
            </w:pPr>
            <w:r w:rsidRPr="00972A30">
              <w:rPr>
                <w:i/>
                <w:iCs/>
                <w:sz w:val="28"/>
                <w:szCs w:val="28"/>
              </w:rPr>
              <w:t>Etat des lieux</w:t>
            </w:r>
          </w:p>
        </w:tc>
        <w:tc>
          <w:tcPr>
            <w:tcW w:w="4531" w:type="dxa"/>
          </w:tcPr>
          <w:p w14:paraId="1DE35CAD" w14:textId="3541998B" w:rsidR="00972A30" w:rsidRPr="00972A30" w:rsidRDefault="00972A30" w:rsidP="007814E2">
            <w:pPr>
              <w:jc w:val="center"/>
              <w:rPr>
                <w:i/>
                <w:iCs/>
                <w:sz w:val="28"/>
                <w:szCs w:val="28"/>
              </w:rPr>
            </w:pPr>
            <w:r>
              <w:rPr>
                <w:i/>
                <w:iCs/>
                <w:sz w:val="28"/>
                <w:szCs w:val="28"/>
              </w:rPr>
              <w:t>3€ / M²</w:t>
            </w:r>
            <w:r w:rsidR="006D7C6E">
              <w:rPr>
                <w:i/>
                <w:iCs/>
                <w:sz w:val="28"/>
                <w:szCs w:val="28"/>
              </w:rPr>
              <w:t xml:space="preserve"> ttc</w:t>
            </w:r>
          </w:p>
        </w:tc>
      </w:tr>
    </w:tbl>
    <w:p w14:paraId="032A6E7C" w14:textId="5115611C" w:rsidR="00550118" w:rsidRPr="006D7C6E" w:rsidRDefault="006D7C6E" w:rsidP="007814E2">
      <w:pPr>
        <w:jc w:val="center"/>
        <w:rPr>
          <w:i/>
          <w:iCs/>
          <w:sz w:val="20"/>
          <w:szCs w:val="20"/>
        </w:rPr>
      </w:pPr>
      <w:r w:rsidRPr="006D7C6E">
        <w:rPr>
          <w:i/>
          <w:iCs/>
          <w:sz w:val="20"/>
          <w:szCs w:val="20"/>
        </w:rPr>
        <w:t>Estimation hors cadre de mise en vente via LAVALLARD IMMOBILIER :</w:t>
      </w:r>
      <w:r>
        <w:rPr>
          <w:i/>
          <w:iCs/>
          <w:sz w:val="20"/>
          <w:szCs w:val="20"/>
        </w:rPr>
        <w:t>15O€ttc</w:t>
      </w:r>
    </w:p>
    <w:p w14:paraId="2F8AF640" w14:textId="77777777" w:rsidR="00890733" w:rsidRPr="00890733" w:rsidRDefault="00890733" w:rsidP="00890733">
      <w:pPr>
        <w:rPr>
          <w:i/>
          <w:iCs/>
          <w:sz w:val="16"/>
          <w:szCs w:val="16"/>
        </w:rPr>
      </w:pPr>
      <w:r w:rsidRPr="00890733">
        <w:rPr>
          <w:i/>
          <w:iCs/>
          <w:sz w:val="16"/>
          <w:szCs w:val="16"/>
        </w:rPr>
        <w:t>Le ministre de l’économie, des finances et de la relance confirme cet assouplissement en publiant l’arrêté du 26 janvier 2022.</w:t>
      </w:r>
    </w:p>
    <w:p w14:paraId="0115B086" w14:textId="77777777" w:rsidR="00890733" w:rsidRPr="00890733" w:rsidRDefault="00890733" w:rsidP="00890733">
      <w:pPr>
        <w:rPr>
          <w:i/>
          <w:iCs/>
          <w:sz w:val="16"/>
          <w:szCs w:val="16"/>
        </w:rPr>
      </w:pPr>
      <w:r w:rsidRPr="00890733">
        <w:rPr>
          <w:i/>
          <w:iCs/>
          <w:sz w:val="16"/>
          <w:szCs w:val="16"/>
        </w:rPr>
        <w:t>C’est dans un contexte tout à fait inattendu, en raison de l’arrêt du 24 janvier 2022 du Tribunal de Commerce de Paris contre le réseau i@d, que </w:t>
      </w:r>
      <w:hyperlink r:id="rId5" w:history="1">
        <w:r w:rsidRPr="00890733">
          <w:rPr>
            <w:rStyle w:val="Lienhypertexte"/>
            <w:i/>
            <w:iCs/>
            <w:sz w:val="16"/>
            <w:szCs w:val="16"/>
          </w:rPr>
          <w:t>l’arrêté du 26 janvier 2022</w:t>
        </w:r>
      </w:hyperlink>
      <w:r w:rsidRPr="00890733">
        <w:rPr>
          <w:i/>
          <w:iCs/>
          <w:sz w:val="16"/>
          <w:szCs w:val="16"/>
        </w:rPr>
        <w:t>, modifiant </w:t>
      </w:r>
      <w:hyperlink r:id="rId6" w:history="1">
        <w:r w:rsidRPr="00890733">
          <w:rPr>
            <w:rStyle w:val="Lienhypertexte"/>
            <w:i/>
            <w:iCs/>
            <w:sz w:val="16"/>
            <w:szCs w:val="16"/>
          </w:rPr>
          <w:t>l’arrêté du 10 janvier 2017</w:t>
        </w:r>
      </w:hyperlink>
      <w:r w:rsidRPr="00890733">
        <w:rPr>
          <w:i/>
          <w:iCs/>
          <w:sz w:val="16"/>
          <w:szCs w:val="16"/>
        </w:rPr>
        <w:t>, a été publié au JO du 4 février 2022.</w:t>
      </w:r>
    </w:p>
    <w:p w14:paraId="3821ABCB" w14:textId="77777777" w:rsidR="00890733" w:rsidRPr="00890733" w:rsidRDefault="00890733" w:rsidP="00890733">
      <w:pPr>
        <w:rPr>
          <w:i/>
          <w:iCs/>
          <w:sz w:val="16"/>
          <w:szCs w:val="16"/>
        </w:rPr>
      </w:pPr>
      <w:r w:rsidRPr="00890733">
        <w:rPr>
          <w:i/>
          <w:iCs/>
          <w:sz w:val="16"/>
          <w:szCs w:val="16"/>
        </w:rPr>
        <w:t>Les nouvelles mesures inédites dont il fait écho seront applicables à partir du 1er avril 2022.</w:t>
      </w:r>
    </w:p>
    <w:p w14:paraId="7EC85D8A" w14:textId="77777777" w:rsidR="00890733" w:rsidRPr="00890733" w:rsidRDefault="00890733" w:rsidP="00890733">
      <w:pPr>
        <w:rPr>
          <w:i/>
          <w:iCs/>
          <w:sz w:val="16"/>
          <w:szCs w:val="16"/>
        </w:rPr>
      </w:pPr>
      <w:r w:rsidRPr="00890733">
        <w:rPr>
          <w:i/>
          <w:iCs/>
          <w:sz w:val="16"/>
          <w:szCs w:val="16"/>
        </w:rPr>
        <w:t>Cet arrêté est inédit, en ce qu’il modifie </w:t>
      </w:r>
      <w:hyperlink r:id="rId7" w:history="1">
        <w:r w:rsidRPr="00890733">
          <w:rPr>
            <w:rStyle w:val="Lienhypertexte"/>
            <w:i/>
            <w:iCs/>
            <w:sz w:val="16"/>
            <w:szCs w:val="16"/>
          </w:rPr>
          <w:t>les articles 2 et 4 de l’arrêté du 10 janvier 2017</w:t>
        </w:r>
      </w:hyperlink>
      <w:r w:rsidRPr="00890733">
        <w:rPr>
          <w:i/>
          <w:iCs/>
          <w:sz w:val="16"/>
          <w:szCs w:val="16"/>
        </w:rPr>
        <w:t> dans le sens d’un véritable assouplissement.</w:t>
      </w:r>
    </w:p>
    <w:p w14:paraId="67B977C8" w14:textId="77777777" w:rsidR="00890733" w:rsidRPr="00890733" w:rsidRDefault="00890733" w:rsidP="00890733">
      <w:pPr>
        <w:rPr>
          <w:i/>
          <w:iCs/>
          <w:sz w:val="16"/>
          <w:szCs w:val="16"/>
        </w:rPr>
      </w:pPr>
      <w:r w:rsidRPr="00890733">
        <w:rPr>
          <w:i/>
          <w:iCs/>
          <w:sz w:val="16"/>
          <w:szCs w:val="16"/>
        </w:rPr>
        <w:t>En effet, l’honoraire affiché au barème des honoraires du Mandant ne sera plus un honoraire « effectivement pratiqué » (s’entend ‘fixe’), mais un honoraire maximum de ses prestations afin de permettre aux consommateurs qui le souhaitent de négocier à la baisse le prix des prestations du professionnel titulaire de la carte professionnelle.</w:t>
      </w:r>
    </w:p>
    <w:p w14:paraId="51352F36" w14:textId="4FA79187" w:rsidR="00890733" w:rsidRPr="00890733" w:rsidRDefault="00890733" w:rsidP="00890733">
      <w:pPr>
        <w:rPr>
          <w:i/>
          <w:iCs/>
          <w:sz w:val="16"/>
          <w:szCs w:val="16"/>
        </w:rPr>
      </w:pPr>
      <w:r w:rsidRPr="00890733">
        <w:rPr>
          <w:i/>
          <w:iCs/>
          <w:sz w:val="16"/>
          <w:szCs w:val="16"/>
        </w:rPr>
        <w:t>L’article 2 de l’arrêté du 10 janvier 2017 sera ainsi modifié (en gras les modifications applicables dès le 1er avril 2022) :</w:t>
      </w:r>
      <w:r w:rsidRPr="00890733">
        <w:rPr>
          <w:i/>
          <w:iCs/>
          <w:sz w:val="16"/>
          <w:szCs w:val="16"/>
        </w:rPr>
        <w:br/>
      </w:r>
      <w:r w:rsidRPr="00890733">
        <w:rPr>
          <w:i/>
          <w:iCs/>
          <w:noProof/>
          <w:sz w:val="16"/>
          <w:szCs w:val="16"/>
        </w:rPr>
        <w:drawing>
          <wp:inline distT="0" distB="0" distL="0" distR="0" wp14:anchorId="49B98086" wp14:editId="6770061E">
            <wp:extent cx="76200" cy="101600"/>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890733">
        <w:rPr>
          <w:i/>
          <w:iCs/>
          <w:sz w:val="16"/>
          <w:szCs w:val="16"/>
        </w:rPr>
        <w:t> « I. Les professionnels visés à l’article 1er sont tenus d’afficher les prix maximums pratiqués des prestations qu’ils assurent, notamment celles liées à la vente, à la location de biens et à la gestion immobilière, en indiquant pour chacune de ces prestations à qui incombe le paiement de cette rémunération » ;</w:t>
      </w:r>
      <w:r w:rsidRPr="00890733">
        <w:rPr>
          <w:i/>
          <w:iCs/>
          <w:sz w:val="16"/>
          <w:szCs w:val="16"/>
        </w:rPr>
        <w:br/>
        <w:t>« II. Les prix maximums des prestations doivent être indiqués toutes taxes comprises » ;</w:t>
      </w:r>
      <w:r w:rsidRPr="00890733">
        <w:rPr>
          <w:i/>
          <w:iCs/>
          <w:sz w:val="16"/>
          <w:szCs w:val="16"/>
        </w:rPr>
        <w:br/>
      </w:r>
      <w:r w:rsidRPr="00890733">
        <w:rPr>
          <w:i/>
          <w:iCs/>
          <w:noProof/>
          <w:sz w:val="16"/>
          <w:szCs w:val="16"/>
        </w:rPr>
        <w:drawing>
          <wp:inline distT="0" distB="0" distL="0" distR="0" wp14:anchorId="6C846E5E" wp14:editId="7B3CBA28">
            <wp:extent cx="76200" cy="10160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890733">
        <w:rPr>
          <w:i/>
          <w:iCs/>
          <w:sz w:val="16"/>
          <w:szCs w:val="16"/>
        </w:rPr>
        <w:t> « III. Lorsque ces prix maximums sont fixés en fonction de la valeur du bien vendu ou du montant du loyer, l’affichage prescrit au I du présent article doit indiquer le ou les montants prélevés, en précisant, le cas échéant, les tranches de prix maximums correspondantes, et faire apparaître tous les éléments permettant de calculer les prix maximums. Le cas échéant, une mention intelligible et figurant en caractère très apparents précise le caractère cumulatif des tranches entre elles ».</w:t>
      </w:r>
    </w:p>
    <w:p w14:paraId="0061189E" w14:textId="77777777" w:rsidR="00890733" w:rsidRPr="00890733" w:rsidRDefault="00890733" w:rsidP="00890733">
      <w:pPr>
        <w:rPr>
          <w:i/>
          <w:iCs/>
          <w:sz w:val="16"/>
          <w:szCs w:val="16"/>
        </w:rPr>
      </w:pPr>
      <w:r w:rsidRPr="00890733">
        <w:rPr>
          <w:i/>
          <w:iCs/>
          <w:sz w:val="16"/>
          <w:szCs w:val="16"/>
        </w:rPr>
        <w:t>Je rappelle que cet arrêté ne revient pas sur les règles générales d’affichage du barème, ni même sur le principe selon lequel le Mandataire doit s’appliquer le barème d’honoraires du Mandant (le barème affiché est celui du titulaire de la carte professionnelle).</w:t>
      </w:r>
    </w:p>
    <w:p w14:paraId="27FA0B64" w14:textId="77777777" w:rsidR="00890733" w:rsidRPr="00890733" w:rsidRDefault="00890733" w:rsidP="00890733">
      <w:pPr>
        <w:rPr>
          <w:i/>
          <w:iCs/>
          <w:sz w:val="16"/>
          <w:szCs w:val="16"/>
        </w:rPr>
      </w:pPr>
      <w:r w:rsidRPr="00890733">
        <w:rPr>
          <w:i/>
          <w:iCs/>
          <w:sz w:val="16"/>
          <w:szCs w:val="16"/>
        </w:rPr>
        <w:t>Toutefois cet arrêté fait état d’une ‘petite révolution’ puisqu’à compter du 1er avril 2022, les barèmes n’auront plus à correspondre aux honoraires « effectivement pratiqués », bien au contraire, ils correspondront désormais aux honoraires «  maximums  » que vous pourrez demander pour chaque type de prestations.</w:t>
      </w:r>
    </w:p>
    <w:p w14:paraId="7DC274AF" w14:textId="77777777" w:rsidR="00550118" w:rsidRPr="00550118" w:rsidRDefault="00550118" w:rsidP="007814E2">
      <w:pPr>
        <w:jc w:val="center"/>
        <w:rPr>
          <w:i/>
          <w:iCs/>
          <w:sz w:val="40"/>
          <w:szCs w:val="40"/>
        </w:rPr>
      </w:pPr>
    </w:p>
    <w:sectPr w:rsidR="00550118" w:rsidRPr="00550118" w:rsidSect="008907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F1C6C"/>
    <w:multiLevelType w:val="hybridMultilevel"/>
    <w:tmpl w:val="1B1A08AC"/>
    <w:lvl w:ilvl="0" w:tplc="380C9BD0">
      <w:start w:val="30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4D5"/>
    <w:rsid w:val="005164D5"/>
    <w:rsid w:val="00550118"/>
    <w:rsid w:val="0060765C"/>
    <w:rsid w:val="00613F27"/>
    <w:rsid w:val="006D7C6E"/>
    <w:rsid w:val="007814E2"/>
    <w:rsid w:val="00890733"/>
    <w:rsid w:val="00972A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6E5E"/>
  <w15:chartTrackingRefBased/>
  <w15:docId w15:val="{48654351-5A46-4B82-BEF3-CFF647DB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50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72A30"/>
    <w:pPr>
      <w:ind w:left="720"/>
      <w:contextualSpacing/>
    </w:pPr>
  </w:style>
  <w:style w:type="character" w:styleId="Lienhypertexte">
    <w:name w:val="Hyperlink"/>
    <w:basedOn w:val="Policepardfaut"/>
    <w:uiPriority w:val="99"/>
    <w:unhideWhenUsed/>
    <w:rsid w:val="00890733"/>
    <w:rPr>
      <w:color w:val="0563C1" w:themeColor="hyperlink"/>
      <w:u w:val="single"/>
    </w:rPr>
  </w:style>
  <w:style w:type="character" w:styleId="Mentionnonrsolue">
    <w:name w:val="Unresolved Mention"/>
    <w:basedOn w:val="Policepardfaut"/>
    <w:uiPriority w:val="99"/>
    <w:semiHidden/>
    <w:unhideWhenUsed/>
    <w:rsid w:val="00890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www.legifrance.gouv.fr/loda/id/JORFTEXT0000338885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loda/id/JORFTEXT000033888549/" TargetMode="External"/><Relationship Id="rId5" Type="http://schemas.openxmlformats.org/officeDocument/2006/relationships/hyperlink" Target="https://www.legifrance.gouv.fr/jorf/id/JORFTEXT00004511896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549</Words>
  <Characters>3025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LAVALLARD</dc:creator>
  <cp:keywords/>
  <dc:description/>
  <cp:lastModifiedBy>florian LAVALLARD</cp:lastModifiedBy>
  <cp:revision>5</cp:revision>
  <cp:lastPrinted>2022-04-01T09:02:00Z</cp:lastPrinted>
  <dcterms:created xsi:type="dcterms:W3CDTF">2022-02-22T16:28:00Z</dcterms:created>
  <dcterms:modified xsi:type="dcterms:W3CDTF">2022-04-01T09:03:00Z</dcterms:modified>
</cp:coreProperties>
</file>