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803" w:rsidRDefault="00CF6669" w:rsidP="006136FE">
      <w:pPr>
        <w:pStyle w:val="Titre"/>
      </w:pPr>
    </w:p>
    <w:p w:rsidR="006136FE" w:rsidRDefault="006136FE" w:rsidP="006136FE"/>
    <w:p w:rsidR="006136FE" w:rsidRPr="003651DB" w:rsidRDefault="006136FE" w:rsidP="003651DB">
      <w:pPr>
        <w:jc w:val="center"/>
        <w:rPr>
          <w:b/>
          <w:color w:val="538E22"/>
          <w:sz w:val="44"/>
          <w:szCs w:val="44"/>
        </w:rPr>
      </w:pPr>
      <w:r w:rsidRPr="003651DB">
        <w:rPr>
          <w:b/>
          <w:color w:val="538E22"/>
          <w:sz w:val="44"/>
          <w:szCs w:val="44"/>
        </w:rPr>
        <w:t>BAREME DES HONORAIRES</w:t>
      </w:r>
    </w:p>
    <w:p w:rsidR="005A12EE" w:rsidRDefault="003651DB" w:rsidP="003651DB">
      <w:pPr>
        <w:pStyle w:val="Paragraphedeliste"/>
        <w:rPr>
          <w:b/>
          <w:color w:val="538E22"/>
          <w:sz w:val="36"/>
          <w:szCs w:val="36"/>
        </w:rPr>
      </w:pPr>
      <w:r>
        <w:rPr>
          <w:b/>
          <w:color w:val="538E22"/>
          <w:sz w:val="36"/>
          <w:szCs w:val="36"/>
        </w:rPr>
        <w:t xml:space="preserve">                              SERENITY FRANCE</w:t>
      </w:r>
    </w:p>
    <w:p w:rsidR="00A56A88" w:rsidRDefault="00A56A88" w:rsidP="005A12EE">
      <w:pPr>
        <w:pStyle w:val="Paragraphedeliste"/>
        <w:rPr>
          <w:b/>
          <w:color w:val="538E22"/>
        </w:rPr>
      </w:pPr>
    </w:p>
    <w:p w:rsidR="00A56A88" w:rsidRDefault="00A56A88" w:rsidP="00A56A88">
      <w:pPr>
        <w:pStyle w:val="Paragraphedeliste"/>
        <w:jc w:val="center"/>
        <w:rPr>
          <w:b/>
          <w:color w:val="538E22"/>
        </w:rPr>
      </w:pPr>
    </w:p>
    <w:p w:rsidR="005A12EE" w:rsidRPr="00A56A88" w:rsidRDefault="00226A04" w:rsidP="00A56A88">
      <w:pPr>
        <w:pStyle w:val="Paragraphedeliste"/>
        <w:jc w:val="center"/>
        <w:rPr>
          <w:b/>
          <w:color w:val="538E22"/>
        </w:rPr>
      </w:pPr>
      <w:r w:rsidRPr="00A56A88">
        <w:rPr>
          <w:b/>
          <w:color w:val="538E22"/>
        </w:rPr>
        <w:t>Chaque mandataire</w:t>
      </w:r>
      <w:r w:rsidR="00A56A88" w:rsidRPr="00A56A88">
        <w:rPr>
          <w:b/>
          <w:color w:val="538E22"/>
        </w:rPr>
        <w:t xml:space="preserve"> est indépendant et peut fixer son propre barème d’honoraires (disponible dans son espace personnel, sur le site </w:t>
      </w:r>
      <w:hyperlink r:id="rId8" w:history="1">
        <w:r w:rsidR="00A56A88" w:rsidRPr="00A56A88">
          <w:rPr>
            <w:rStyle w:val="Lienhypertexte"/>
            <w:b/>
            <w:color w:val="538E22"/>
          </w:rPr>
          <w:t>www.serenity-france.com</w:t>
        </w:r>
      </w:hyperlink>
      <w:r w:rsidR="00A56A88" w:rsidRPr="00A56A88">
        <w:rPr>
          <w:b/>
          <w:color w:val="538E22"/>
        </w:rPr>
        <w:t>.</w:t>
      </w:r>
    </w:p>
    <w:p w:rsidR="00A56A88" w:rsidRPr="00A56A88" w:rsidRDefault="00A56A88" w:rsidP="00A56A88">
      <w:pPr>
        <w:pStyle w:val="Paragraphedeliste"/>
        <w:jc w:val="center"/>
        <w:rPr>
          <w:b/>
          <w:color w:val="538E22"/>
        </w:rPr>
      </w:pPr>
      <w:r w:rsidRPr="00A56A88">
        <w:rPr>
          <w:b/>
          <w:color w:val="538E22"/>
        </w:rPr>
        <w:t>Si le mandataire n’applique pas son propre barème, il s’engage à respecter le barème ci-dessous</w:t>
      </w:r>
    </w:p>
    <w:p w:rsidR="00E44264" w:rsidRPr="00A56A88" w:rsidRDefault="00E44264" w:rsidP="005A12EE">
      <w:pPr>
        <w:pStyle w:val="Paragraphedeliste"/>
        <w:rPr>
          <w:b/>
          <w:color w:val="538E22"/>
        </w:rPr>
      </w:pPr>
    </w:p>
    <w:p w:rsidR="00E44264" w:rsidRDefault="00E44264" w:rsidP="005A12EE">
      <w:pPr>
        <w:pStyle w:val="Paragraphedeliste"/>
        <w:rPr>
          <w:b/>
          <w:color w:val="538E22"/>
          <w:sz w:val="36"/>
          <w:szCs w:val="36"/>
        </w:rPr>
      </w:pPr>
    </w:p>
    <w:tbl>
      <w:tblPr>
        <w:tblW w:w="91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9"/>
      </w:tblGrid>
      <w:tr w:rsidR="005A12EE" w:rsidTr="00E44264">
        <w:tblPrEx>
          <w:tblCellMar>
            <w:top w:w="0" w:type="dxa"/>
            <w:bottom w:w="0" w:type="dxa"/>
          </w:tblCellMar>
        </w:tblPrEx>
        <w:trPr>
          <w:trHeight w:val="4848"/>
        </w:trPr>
        <w:tc>
          <w:tcPr>
            <w:tcW w:w="9159" w:type="dxa"/>
          </w:tcPr>
          <w:tbl>
            <w:tblPr>
              <w:tblStyle w:val="Grilledutableau"/>
              <w:tblW w:w="0" w:type="auto"/>
              <w:tblInd w:w="348" w:type="dxa"/>
              <w:tblLook w:val="04A0" w:firstRow="1" w:lastRow="0" w:firstColumn="1" w:lastColumn="0" w:noHBand="0" w:noVBand="1"/>
            </w:tblPr>
            <w:tblGrid>
              <w:gridCol w:w="4253"/>
              <w:gridCol w:w="4111"/>
            </w:tblGrid>
            <w:tr w:rsidR="003E7704" w:rsidTr="00E44264">
              <w:trPr>
                <w:trHeight w:val="380"/>
              </w:trPr>
              <w:tc>
                <w:tcPr>
                  <w:tcW w:w="4253" w:type="dxa"/>
                </w:tcPr>
                <w:p w:rsidR="003E7704" w:rsidRPr="00E44264" w:rsidRDefault="003E7704" w:rsidP="003E7704">
                  <w:pPr>
                    <w:pStyle w:val="Paragraphedeliste"/>
                    <w:ind w:left="0"/>
                    <w:jc w:val="center"/>
                    <w:rPr>
                      <w:b/>
                      <w:color w:val="538E22"/>
                      <w:sz w:val="36"/>
                      <w:szCs w:val="36"/>
                    </w:rPr>
                  </w:pPr>
                  <w:r w:rsidRPr="00E44264">
                    <w:rPr>
                      <w:b/>
                      <w:color w:val="000000" w:themeColor="text1"/>
                      <w:sz w:val="36"/>
                      <w:szCs w:val="36"/>
                    </w:rPr>
                    <w:t>PRIX DE VENTE</w:t>
                  </w:r>
                </w:p>
              </w:tc>
              <w:tc>
                <w:tcPr>
                  <w:tcW w:w="4111" w:type="dxa"/>
                </w:tcPr>
                <w:p w:rsidR="003E7704" w:rsidRPr="00E44264" w:rsidRDefault="00E76220" w:rsidP="00E76220">
                  <w:pPr>
                    <w:pStyle w:val="Paragraphedeliste"/>
                    <w:ind w:left="0"/>
                    <w:jc w:val="center"/>
                    <w:rPr>
                      <w:b/>
                      <w:color w:val="538E22"/>
                      <w:sz w:val="36"/>
                      <w:szCs w:val="36"/>
                    </w:rPr>
                  </w:pPr>
                  <w:r w:rsidRPr="00E44264">
                    <w:rPr>
                      <w:b/>
                      <w:color w:val="000000" w:themeColor="text1"/>
                      <w:sz w:val="36"/>
                      <w:szCs w:val="36"/>
                    </w:rPr>
                    <w:t>HONORAIRES TTC</w:t>
                  </w:r>
                </w:p>
              </w:tc>
            </w:tr>
            <w:tr w:rsidR="00E76220" w:rsidTr="00E44264">
              <w:trPr>
                <w:trHeight w:val="496"/>
              </w:trPr>
              <w:tc>
                <w:tcPr>
                  <w:tcW w:w="4253" w:type="dxa"/>
                </w:tcPr>
                <w:p w:rsidR="00E76220" w:rsidRPr="00E44264" w:rsidRDefault="00E76220" w:rsidP="0098776B">
                  <w:pPr>
                    <w:pStyle w:val="Paragraphedeliste"/>
                    <w:ind w:left="0"/>
                    <w:jc w:val="center"/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 w:rsidRPr="00E44264">
                    <w:rPr>
                      <w:b/>
                      <w:color w:val="000000" w:themeColor="text1"/>
                      <w:sz w:val="32"/>
                      <w:szCs w:val="32"/>
                    </w:rPr>
                    <w:t>De 1 € à 60 000 €</w:t>
                  </w:r>
                </w:p>
              </w:tc>
              <w:tc>
                <w:tcPr>
                  <w:tcW w:w="4111" w:type="dxa"/>
                </w:tcPr>
                <w:p w:rsidR="00E76220" w:rsidRPr="00E44264" w:rsidRDefault="00E76220" w:rsidP="00E76220">
                  <w:pPr>
                    <w:pStyle w:val="Paragraphedeliste"/>
                    <w:ind w:left="0"/>
                    <w:jc w:val="center"/>
                    <w:rPr>
                      <w:b/>
                      <w:color w:val="538E22"/>
                      <w:sz w:val="32"/>
                      <w:szCs w:val="32"/>
                    </w:rPr>
                  </w:pPr>
                  <w:r w:rsidRPr="00E44264">
                    <w:rPr>
                      <w:b/>
                      <w:color w:val="538E22"/>
                      <w:sz w:val="32"/>
                      <w:szCs w:val="32"/>
                    </w:rPr>
                    <w:t>5 000 €</w:t>
                  </w:r>
                </w:p>
              </w:tc>
            </w:tr>
            <w:tr w:rsidR="00E76220" w:rsidTr="00E44264">
              <w:trPr>
                <w:trHeight w:val="496"/>
              </w:trPr>
              <w:tc>
                <w:tcPr>
                  <w:tcW w:w="4253" w:type="dxa"/>
                </w:tcPr>
                <w:p w:rsidR="00E76220" w:rsidRPr="00E44264" w:rsidRDefault="00E76220" w:rsidP="0098776B">
                  <w:pPr>
                    <w:pStyle w:val="Paragraphedeliste"/>
                    <w:ind w:left="0"/>
                    <w:jc w:val="center"/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 w:rsidRPr="00E44264">
                    <w:rPr>
                      <w:b/>
                      <w:color w:val="000000" w:themeColor="text1"/>
                      <w:sz w:val="32"/>
                      <w:szCs w:val="32"/>
                    </w:rPr>
                    <w:t>De 60 001 à 80 000 €</w:t>
                  </w:r>
                </w:p>
              </w:tc>
              <w:tc>
                <w:tcPr>
                  <w:tcW w:w="4111" w:type="dxa"/>
                </w:tcPr>
                <w:p w:rsidR="00E76220" w:rsidRPr="00E44264" w:rsidRDefault="0098776B" w:rsidP="0098776B">
                  <w:pPr>
                    <w:pStyle w:val="Paragraphedeliste"/>
                    <w:ind w:left="0"/>
                    <w:jc w:val="center"/>
                    <w:rPr>
                      <w:b/>
                      <w:color w:val="538E22"/>
                      <w:sz w:val="32"/>
                      <w:szCs w:val="32"/>
                    </w:rPr>
                  </w:pPr>
                  <w:r w:rsidRPr="00E44264">
                    <w:rPr>
                      <w:b/>
                      <w:color w:val="538E22"/>
                      <w:sz w:val="32"/>
                      <w:szCs w:val="32"/>
                    </w:rPr>
                    <w:t>6 0</w:t>
                  </w:r>
                  <w:r w:rsidR="00E76220" w:rsidRPr="00E44264">
                    <w:rPr>
                      <w:b/>
                      <w:color w:val="538E22"/>
                      <w:sz w:val="32"/>
                      <w:szCs w:val="32"/>
                    </w:rPr>
                    <w:t>00 €</w:t>
                  </w:r>
                </w:p>
              </w:tc>
            </w:tr>
            <w:tr w:rsidR="00E76220" w:rsidTr="00E44264">
              <w:trPr>
                <w:trHeight w:val="496"/>
              </w:trPr>
              <w:tc>
                <w:tcPr>
                  <w:tcW w:w="4253" w:type="dxa"/>
                </w:tcPr>
                <w:p w:rsidR="00E76220" w:rsidRPr="00E44264" w:rsidRDefault="00E76220" w:rsidP="0098776B">
                  <w:pPr>
                    <w:pStyle w:val="Paragraphedeliste"/>
                    <w:ind w:left="0"/>
                    <w:jc w:val="center"/>
                    <w:rPr>
                      <w:b/>
                      <w:color w:val="538E22"/>
                      <w:sz w:val="32"/>
                      <w:szCs w:val="32"/>
                    </w:rPr>
                  </w:pPr>
                  <w:r w:rsidRPr="00E44264">
                    <w:rPr>
                      <w:b/>
                      <w:color w:val="000000" w:themeColor="text1"/>
                      <w:sz w:val="32"/>
                      <w:szCs w:val="32"/>
                    </w:rPr>
                    <w:t>De 80 001 à 100 000 €</w:t>
                  </w:r>
                </w:p>
              </w:tc>
              <w:tc>
                <w:tcPr>
                  <w:tcW w:w="4111" w:type="dxa"/>
                </w:tcPr>
                <w:p w:rsidR="00E76220" w:rsidRPr="00E44264" w:rsidRDefault="0098776B" w:rsidP="0098776B">
                  <w:pPr>
                    <w:pStyle w:val="Paragraphedeliste"/>
                    <w:ind w:left="0"/>
                    <w:jc w:val="center"/>
                    <w:rPr>
                      <w:b/>
                      <w:color w:val="538E22"/>
                      <w:sz w:val="32"/>
                      <w:szCs w:val="32"/>
                    </w:rPr>
                  </w:pPr>
                  <w:r w:rsidRPr="00E44264">
                    <w:rPr>
                      <w:b/>
                      <w:color w:val="538E22"/>
                      <w:sz w:val="32"/>
                      <w:szCs w:val="32"/>
                    </w:rPr>
                    <w:t>7</w:t>
                  </w:r>
                  <w:r w:rsidR="00E76220" w:rsidRPr="00E44264">
                    <w:rPr>
                      <w:b/>
                      <w:color w:val="538E22"/>
                      <w:sz w:val="32"/>
                      <w:szCs w:val="32"/>
                    </w:rPr>
                    <w:t xml:space="preserve"> 000 €</w:t>
                  </w:r>
                </w:p>
              </w:tc>
            </w:tr>
            <w:tr w:rsidR="00E76220" w:rsidTr="00E44264">
              <w:trPr>
                <w:trHeight w:val="496"/>
              </w:trPr>
              <w:tc>
                <w:tcPr>
                  <w:tcW w:w="4253" w:type="dxa"/>
                </w:tcPr>
                <w:p w:rsidR="00E76220" w:rsidRPr="00E44264" w:rsidRDefault="00E76220" w:rsidP="0098776B">
                  <w:pPr>
                    <w:pStyle w:val="Paragraphedeliste"/>
                    <w:ind w:left="0"/>
                    <w:jc w:val="center"/>
                    <w:rPr>
                      <w:b/>
                      <w:color w:val="538E22"/>
                      <w:sz w:val="32"/>
                      <w:szCs w:val="32"/>
                    </w:rPr>
                  </w:pPr>
                  <w:r w:rsidRPr="00E44264"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De 100 001 </w:t>
                  </w:r>
                  <w:r w:rsidR="00905082" w:rsidRPr="00E44264">
                    <w:rPr>
                      <w:b/>
                      <w:color w:val="000000" w:themeColor="text1"/>
                      <w:sz w:val="32"/>
                      <w:szCs w:val="32"/>
                    </w:rPr>
                    <w:t>à 15</w:t>
                  </w:r>
                  <w:r w:rsidRPr="00E44264">
                    <w:rPr>
                      <w:b/>
                      <w:color w:val="000000" w:themeColor="text1"/>
                      <w:sz w:val="32"/>
                      <w:szCs w:val="32"/>
                    </w:rPr>
                    <w:t>0 000 €</w:t>
                  </w:r>
                </w:p>
              </w:tc>
              <w:tc>
                <w:tcPr>
                  <w:tcW w:w="4111" w:type="dxa"/>
                </w:tcPr>
                <w:p w:rsidR="00E76220" w:rsidRPr="00E44264" w:rsidRDefault="0098776B" w:rsidP="0098776B">
                  <w:pPr>
                    <w:pStyle w:val="Paragraphedeliste"/>
                    <w:ind w:left="0"/>
                    <w:jc w:val="center"/>
                    <w:rPr>
                      <w:b/>
                      <w:color w:val="538E22"/>
                      <w:sz w:val="32"/>
                      <w:szCs w:val="32"/>
                    </w:rPr>
                  </w:pPr>
                  <w:r w:rsidRPr="00E44264">
                    <w:rPr>
                      <w:b/>
                      <w:color w:val="538E22"/>
                      <w:sz w:val="32"/>
                      <w:szCs w:val="32"/>
                    </w:rPr>
                    <w:t>8</w:t>
                  </w:r>
                  <w:r w:rsidR="00905082" w:rsidRPr="00E44264">
                    <w:rPr>
                      <w:b/>
                      <w:color w:val="538E22"/>
                      <w:sz w:val="32"/>
                      <w:szCs w:val="32"/>
                    </w:rPr>
                    <w:t> 000 €</w:t>
                  </w:r>
                </w:p>
              </w:tc>
            </w:tr>
            <w:tr w:rsidR="00E76220" w:rsidTr="00E44264">
              <w:trPr>
                <w:trHeight w:val="468"/>
              </w:trPr>
              <w:tc>
                <w:tcPr>
                  <w:tcW w:w="4253" w:type="dxa"/>
                </w:tcPr>
                <w:p w:rsidR="00E76220" w:rsidRPr="00E44264" w:rsidRDefault="00905082" w:rsidP="0098776B">
                  <w:pPr>
                    <w:pStyle w:val="Paragraphedeliste"/>
                    <w:ind w:left="0"/>
                    <w:jc w:val="center"/>
                    <w:rPr>
                      <w:b/>
                      <w:color w:val="538E22"/>
                      <w:sz w:val="32"/>
                      <w:szCs w:val="32"/>
                    </w:rPr>
                  </w:pPr>
                  <w:r w:rsidRPr="00E44264">
                    <w:rPr>
                      <w:b/>
                      <w:color w:val="000000" w:themeColor="text1"/>
                      <w:sz w:val="32"/>
                      <w:szCs w:val="32"/>
                    </w:rPr>
                    <w:t>De 150 001 à 200 000 €</w:t>
                  </w:r>
                </w:p>
              </w:tc>
              <w:tc>
                <w:tcPr>
                  <w:tcW w:w="4111" w:type="dxa"/>
                </w:tcPr>
                <w:p w:rsidR="00E76220" w:rsidRPr="00E44264" w:rsidRDefault="0098776B" w:rsidP="0098776B">
                  <w:pPr>
                    <w:pStyle w:val="Paragraphedeliste"/>
                    <w:ind w:left="0"/>
                    <w:jc w:val="center"/>
                    <w:rPr>
                      <w:b/>
                      <w:color w:val="538E22"/>
                      <w:sz w:val="32"/>
                      <w:szCs w:val="32"/>
                    </w:rPr>
                  </w:pPr>
                  <w:r w:rsidRPr="00E44264">
                    <w:rPr>
                      <w:b/>
                      <w:color w:val="538E22"/>
                      <w:sz w:val="32"/>
                      <w:szCs w:val="32"/>
                    </w:rPr>
                    <w:t>9</w:t>
                  </w:r>
                  <w:r w:rsidR="00905082" w:rsidRPr="00E44264">
                    <w:rPr>
                      <w:b/>
                      <w:color w:val="538E22"/>
                      <w:sz w:val="32"/>
                      <w:szCs w:val="32"/>
                    </w:rPr>
                    <w:t xml:space="preserve"> 000 €</w:t>
                  </w:r>
                </w:p>
              </w:tc>
            </w:tr>
            <w:tr w:rsidR="00E76220" w:rsidTr="00E44264">
              <w:trPr>
                <w:trHeight w:val="496"/>
              </w:trPr>
              <w:tc>
                <w:tcPr>
                  <w:tcW w:w="4253" w:type="dxa"/>
                </w:tcPr>
                <w:p w:rsidR="00E76220" w:rsidRPr="00E44264" w:rsidRDefault="00905082" w:rsidP="0098776B">
                  <w:pPr>
                    <w:pStyle w:val="Paragraphedeliste"/>
                    <w:ind w:left="0"/>
                    <w:jc w:val="center"/>
                    <w:rPr>
                      <w:b/>
                      <w:color w:val="538E22"/>
                      <w:sz w:val="32"/>
                      <w:szCs w:val="32"/>
                    </w:rPr>
                  </w:pPr>
                  <w:r w:rsidRPr="00E44264">
                    <w:rPr>
                      <w:b/>
                      <w:color w:val="000000" w:themeColor="text1"/>
                      <w:sz w:val="32"/>
                      <w:szCs w:val="32"/>
                    </w:rPr>
                    <w:t>De 200 001 à 250 000 €</w:t>
                  </w:r>
                </w:p>
              </w:tc>
              <w:tc>
                <w:tcPr>
                  <w:tcW w:w="4111" w:type="dxa"/>
                </w:tcPr>
                <w:p w:rsidR="00E76220" w:rsidRPr="00E44264" w:rsidRDefault="0098776B" w:rsidP="0098776B">
                  <w:pPr>
                    <w:pStyle w:val="Paragraphedeliste"/>
                    <w:ind w:left="0"/>
                    <w:jc w:val="center"/>
                    <w:rPr>
                      <w:b/>
                      <w:color w:val="538E22"/>
                      <w:sz w:val="32"/>
                      <w:szCs w:val="32"/>
                    </w:rPr>
                  </w:pPr>
                  <w:r w:rsidRPr="00E44264">
                    <w:rPr>
                      <w:b/>
                      <w:color w:val="538E22"/>
                      <w:sz w:val="32"/>
                      <w:szCs w:val="32"/>
                    </w:rPr>
                    <w:t>10</w:t>
                  </w:r>
                  <w:r w:rsidR="00905082" w:rsidRPr="00E44264">
                    <w:rPr>
                      <w:b/>
                      <w:color w:val="538E22"/>
                      <w:sz w:val="32"/>
                      <w:szCs w:val="32"/>
                    </w:rPr>
                    <w:t> 000 €</w:t>
                  </w:r>
                </w:p>
              </w:tc>
            </w:tr>
            <w:tr w:rsidR="00E76220" w:rsidTr="00E44264">
              <w:trPr>
                <w:trHeight w:val="496"/>
              </w:trPr>
              <w:tc>
                <w:tcPr>
                  <w:tcW w:w="4253" w:type="dxa"/>
                </w:tcPr>
                <w:p w:rsidR="00E76220" w:rsidRPr="00E44264" w:rsidRDefault="00905082" w:rsidP="0098776B">
                  <w:pPr>
                    <w:pStyle w:val="Paragraphedeliste"/>
                    <w:ind w:left="0"/>
                    <w:jc w:val="center"/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 w:rsidRPr="00E44264">
                    <w:rPr>
                      <w:b/>
                      <w:color w:val="000000" w:themeColor="text1"/>
                      <w:sz w:val="32"/>
                      <w:szCs w:val="32"/>
                    </w:rPr>
                    <w:t>De 25</w:t>
                  </w:r>
                  <w:r w:rsidR="0098776B" w:rsidRPr="00E44264"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0 001 </w:t>
                  </w:r>
                  <w:r w:rsidRPr="00E44264"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à </w:t>
                  </w:r>
                  <w:r w:rsidR="0098776B" w:rsidRPr="00E44264">
                    <w:rPr>
                      <w:b/>
                      <w:color w:val="000000" w:themeColor="text1"/>
                      <w:sz w:val="32"/>
                      <w:szCs w:val="32"/>
                    </w:rPr>
                    <w:t>300 000 €</w:t>
                  </w:r>
                </w:p>
              </w:tc>
              <w:tc>
                <w:tcPr>
                  <w:tcW w:w="4111" w:type="dxa"/>
                </w:tcPr>
                <w:p w:rsidR="00E76220" w:rsidRPr="00E44264" w:rsidRDefault="0098776B" w:rsidP="0098776B">
                  <w:pPr>
                    <w:pStyle w:val="Paragraphedeliste"/>
                    <w:ind w:left="0"/>
                    <w:jc w:val="center"/>
                    <w:rPr>
                      <w:b/>
                      <w:color w:val="538E22"/>
                      <w:sz w:val="32"/>
                      <w:szCs w:val="32"/>
                    </w:rPr>
                  </w:pPr>
                  <w:r w:rsidRPr="00E44264">
                    <w:rPr>
                      <w:b/>
                      <w:color w:val="538E22"/>
                      <w:sz w:val="32"/>
                      <w:szCs w:val="32"/>
                    </w:rPr>
                    <w:t>11 000 €</w:t>
                  </w:r>
                </w:p>
              </w:tc>
            </w:tr>
            <w:tr w:rsidR="00E76220" w:rsidTr="00E44264">
              <w:trPr>
                <w:trHeight w:val="496"/>
              </w:trPr>
              <w:tc>
                <w:tcPr>
                  <w:tcW w:w="4253" w:type="dxa"/>
                </w:tcPr>
                <w:p w:rsidR="00E76220" w:rsidRPr="00E44264" w:rsidRDefault="0098776B" w:rsidP="003651DB">
                  <w:pPr>
                    <w:pStyle w:val="Paragraphedeliste"/>
                    <w:ind w:left="0"/>
                    <w:jc w:val="center"/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 w:rsidRPr="00E44264">
                    <w:rPr>
                      <w:b/>
                      <w:color w:val="000000" w:themeColor="text1"/>
                      <w:sz w:val="32"/>
                      <w:szCs w:val="32"/>
                    </w:rPr>
                    <w:t>Au-del</w:t>
                  </w:r>
                  <w:r w:rsidR="003651DB" w:rsidRPr="00E44264">
                    <w:rPr>
                      <w:b/>
                      <w:color w:val="000000" w:themeColor="text1"/>
                      <w:sz w:val="32"/>
                      <w:szCs w:val="32"/>
                    </w:rPr>
                    <w:t>à de 300 000 €</w:t>
                  </w:r>
                </w:p>
              </w:tc>
              <w:tc>
                <w:tcPr>
                  <w:tcW w:w="4111" w:type="dxa"/>
                </w:tcPr>
                <w:p w:rsidR="00E76220" w:rsidRPr="00E44264" w:rsidRDefault="0098776B" w:rsidP="0098776B">
                  <w:pPr>
                    <w:pStyle w:val="Paragraphedeliste"/>
                    <w:ind w:left="0"/>
                    <w:jc w:val="center"/>
                    <w:rPr>
                      <w:b/>
                      <w:color w:val="538E22"/>
                      <w:sz w:val="32"/>
                      <w:szCs w:val="32"/>
                    </w:rPr>
                  </w:pPr>
                  <w:r w:rsidRPr="00E44264">
                    <w:rPr>
                      <w:b/>
                      <w:color w:val="538E22"/>
                      <w:sz w:val="32"/>
                      <w:szCs w:val="32"/>
                    </w:rPr>
                    <w:t>4 %</w:t>
                  </w:r>
                </w:p>
              </w:tc>
            </w:tr>
            <w:tr w:rsidR="00E76220" w:rsidTr="00E44264">
              <w:trPr>
                <w:trHeight w:val="496"/>
              </w:trPr>
              <w:tc>
                <w:tcPr>
                  <w:tcW w:w="4253" w:type="dxa"/>
                </w:tcPr>
                <w:p w:rsidR="00E76220" w:rsidRDefault="00E76220" w:rsidP="005A12EE">
                  <w:pPr>
                    <w:pStyle w:val="Paragraphedeliste"/>
                    <w:ind w:left="0"/>
                    <w:rPr>
                      <w:b/>
                      <w:color w:val="538E22"/>
                      <w:sz w:val="36"/>
                      <w:szCs w:val="36"/>
                    </w:rPr>
                  </w:pPr>
                </w:p>
              </w:tc>
              <w:tc>
                <w:tcPr>
                  <w:tcW w:w="4111" w:type="dxa"/>
                </w:tcPr>
                <w:p w:rsidR="00E76220" w:rsidRDefault="00E76220" w:rsidP="005A12EE">
                  <w:pPr>
                    <w:pStyle w:val="Paragraphedeliste"/>
                    <w:ind w:left="0"/>
                    <w:rPr>
                      <w:b/>
                      <w:color w:val="538E22"/>
                      <w:sz w:val="36"/>
                      <w:szCs w:val="36"/>
                    </w:rPr>
                  </w:pPr>
                </w:p>
              </w:tc>
            </w:tr>
          </w:tbl>
          <w:p w:rsidR="005A12EE" w:rsidRDefault="005A12EE" w:rsidP="005A12EE">
            <w:pPr>
              <w:pStyle w:val="Paragraphedeliste"/>
              <w:ind w:left="0"/>
              <w:rPr>
                <w:b/>
                <w:color w:val="538E22"/>
                <w:sz w:val="36"/>
                <w:szCs w:val="36"/>
              </w:rPr>
            </w:pPr>
          </w:p>
        </w:tc>
      </w:tr>
    </w:tbl>
    <w:p w:rsidR="005A12EE" w:rsidRPr="00E44264" w:rsidRDefault="005A12EE" w:rsidP="00E44264">
      <w:pPr>
        <w:rPr>
          <w:b/>
          <w:color w:val="538E22"/>
          <w:sz w:val="36"/>
          <w:szCs w:val="36"/>
        </w:rPr>
      </w:pPr>
    </w:p>
    <w:p w:rsidR="00E44264" w:rsidRDefault="00E44264" w:rsidP="003651DB">
      <w:pPr>
        <w:rPr>
          <w:b/>
          <w:color w:val="538E22"/>
        </w:rPr>
      </w:pPr>
    </w:p>
    <w:p w:rsidR="003651DB" w:rsidRDefault="003651DB" w:rsidP="003651DB">
      <w:pPr>
        <w:rPr>
          <w:b/>
          <w:color w:val="538E22"/>
        </w:rPr>
      </w:pPr>
      <w:bookmarkStart w:id="0" w:name="_GoBack"/>
      <w:bookmarkEnd w:id="0"/>
      <w:r w:rsidRPr="003651DB">
        <w:rPr>
          <w:b/>
          <w:color w:val="538E22"/>
        </w:rPr>
        <w:t>Les honoraires de négociation sont :</w:t>
      </w:r>
    </w:p>
    <w:p w:rsidR="00B8606C" w:rsidRPr="003651DB" w:rsidRDefault="00B8606C" w:rsidP="003651DB">
      <w:pPr>
        <w:rPr>
          <w:b/>
          <w:color w:val="538E22"/>
        </w:rPr>
      </w:pPr>
    </w:p>
    <w:p w:rsidR="003651DB" w:rsidRDefault="003651DB" w:rsidP="003651DB">
      <w:pPr>
        <w:pStyle w:val="Paragraphedeliste"/>
        <w:numPr>
          <w:ilvl w:val="0"/>
          <w:numId w:val="3"/>
        </w:numPr>
        <w:rPr>
          <w:b/>
          <w:color w:val="538E22"/>
        </w:rPr>
      </w:pPr>
      <w:r w:rsidRPr="003651DB">
        <w:rPr>
          <w:b/>
          <w:color w:val="538E22"/>
        </w:rPr>
        <w:t>A la charge du vendeur dans le cadre d’un mandat de vente « commission vendeur »</w:t>
      </w:r>
    </w:p>
    <w:p w:rsidR="003651DB" w:rsidRPr="00B8606C" w:rsidRDefault="003651DB" w:rsidP="00B8606C">
      <w:pPr>
        <w:pStyle w:val="Paragraphedeliste"/>
        <w:numPr>
          <w:ilvl w:val="0"/>
          <w:numId w:val="3"/>
        </w:numPr>
        <w:rPr>
          <w:b/>
          <w:color w:val="538E22"/>
        </w:rPr>
      </w:pPr>
      <w:r w:rsidRPr="00B8606C">
        <w:rPr>
          <w:b/>
          <w:color w:val="538E22"/>
        </w:rPr>
        <w:t>A la charge de l’acquéreur dans le cadre d’un mandat de vente « commission acquéreur »</w:t>
      </w:r>
    </w:p>
    <w:sectPr w:rsidR="003651DB" w:rsidRPr="00B8606C" w:rsidSect="006A2BD8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669" w:rsidRDefault="00CF6669" w:rsidP="006136FE">
      <w:r>
        <w:separator/>
      </w:r>
    </w:p>
  </w:endnote>
  <w:endnote w:type="continuationSeparator" w:id="0">
    <w:p w:rsidR="00CF6669" w:rsidRDefault="00CF6669" w:rsidP="0061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669" w:rsidRDefault="00CF6669" w:rsidP="006136FE">
      <w:r>
        <w:separator/>
      </w:r>
    </w:p>
  </w:footnote>
  <w:footnote w:type="continuationSeparator" w:id="0">
    <w:p w:rsidR="00CF6669" w:rsidRDefault="00CF6669" w:rsidP="00613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6FE" w:rsidRPr="006136FE" w:rsidRDefault="006136FE" w:rsidP="006136FE">
    <w:pPr>
      <w:pStyle w:val="En-tte"/>
      <w:jc w:val="center"/>
      <w:rPr>
        <w14:textOutline w14:w="9525" w14:cap="rnd" w14:cmpd="sng" w14:algn="ctr">
          <w14:gradFill>
            <w14:gsLst>
              <w14:gs w14:pos="0">
                <w14:schemeClr w14:val="accent1">
                  <w14:lumMod w14:val="5000"/>
                  <w14:lumOff w14:val="95000"/>
                </w14:schemeClr>
              </w14:gs>
              <w14:gs w14:pos="74000">
                <w14:schemeClr w14:val="accent1">
                  <w14:lumMod w14:val="45000"/>
                  <w14:lumOff w14:val="55000"/>
                </w14:schemeClr>
              </w14:gs>
              <w14:gs w14:pos="83000">
                <w14:schemeClr w14:val="accent1">
                  <w14:lumMod w14:val="45000"/>
                  <w14:lumOff w14:val="55000"/>
                </w14:schemeClr>
              </w14:gs>
              <w14:gs w14:pos="100000">
                <w14:schemeClr w14:val="accent1">
                  <w14:lumMod w14:val="30000"/>
                  <w14:lumOff w14:val="70000"/>
                </w14:schemeClr>
              </w14:gs>
            </w14:gsLst>
            <w14:lin w14:ang="5400000" w14:scaled="0"/>
          </w14:gradFill>
          <w14:prstDash w14:val="solid"/>
          <w14:bevel/>
        </w14:textOutline>
      </w:rPr>
    </w:pPr>
    <w:r>
      <w:rPr>
        <w:noProof/>
      </w:rPr>
      <w:drawing>
        <wp:inline distT="0" distB="0" distL="0" distR="0" wp14:anchorId="1E2F47DD" wp14:editId="16E4A1B6">
          <wp:extent cx="2460065" cy="1584960"/>
          <wp:effectExtent l="0" t="0" r="3810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renity-logo-FOND-BLAN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9950" cy="1694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B4ED8"/>
    <w:multiLevelType w:val="hybridMultilevel"/>
    <w:tmpl w:val="52E44E44"/>
    <w:lvl w:ilvl="0" w:tplc="920414B2">
      <w:start w:val="11"/>
      <w:numFmt w:val="bullet"/>
      <w:lvlText w:val="-"/>
      <w:lvlJc w:val="left"/>
      <w:pPr>
        <w:ind w:left="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 w15:restartNumberingAfterBreak="0">
    <w:nsid w:val="6ABC6B9F"/>
    <w:multiLevelType w:val="hybridMultilevel"/>
    <w:tmpl w:val="03EA9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C71B7"/>
    <w:multiLevelType w:val="hybridMultilevel"/>
    <w:tmpl w:val="09EE540A"/>
    <w:lvl w:ilvl="0" w:tplc="0F80EF62">
      <w:start w:val="1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5AA"/>
    <w:rsid w:val="001D7DCC"/>
    <w:rsid w:val="00226A04"/>
    <w:rsid w:val="002B38F0"/>
    <w:rsid w:val="003651DB"/>
    <w:rsid w:val="003E7704"/>
    <w:rsid w:val="005A12EE"/>
    <w:rsid w:val="006136FE"/>
    <w:rsid w:val="006A2BD8"/>
    <w:rsid w:val="007B35AA"/>
    <w:rsid w:val="00905082"/>
    <w:rsid w:val="0098776B"/>
    <w:rsid w:val="00A17A7C"/>
    <w:rsid w:val="00A56A88"/>
    <w:rsid w:val="00B8606C"/>
    <w:rsid w:val="00CF6669"/>
    <w:rsid w:val="00E44264"/>
    <w:rsid w:val="00E7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8EA4"/>
  <w15:chartTrackingRefBased/>
  <w15:docId w15:val="{F4216367-DEB9-5B4F-A95C-97B5A31A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36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36FE"/>
  </w:style>
  <w:style w:type="paragraph" w:styleId="Pieddepage">
    <w:name w:val="footer"/>
    <w:basedOn w:val="Normal"/>
    <w:link w:val="PieddepageCar"/>
    <w:uiPriority w:val="99"/>
    <w:unhideWhenUsed/>
    <w:rsid w:val="006136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36FE"/>
  </w:style>
  <w:style w:type="paragraph" w:styleId="Sansinterligne">
    <w:name w:val="No Spacing"/>
    <w:uiPriority w:val="1"/>
    <w:qFormat/>
    <w:rsid w:val="006136FE"/>
  </w:style>
  <w:style w:type="paragraph" w:styleId="Titre">
    <w:name w:val="Title"/>
    <w:basedOn w:val="Normal"/>
    <w:next w:val="Normal"/>
    <w:link w:val="TitreCar"/>
    <w:uiPriority w:val="10"/>
    <w:qFormat/>
    <w:rsid w:val="006136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3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5A12EE"/>
    <w:pPr>
      <w:ind w:left="720"/>
      <w:contextualSpacing/>
    </w:pPr>
  </w:style>
  <w:style w:type="table" w:styleId="Grilledutableau">
    <w:name w:val="Table Grid"/>
    <w:basedOn w:val="TableauNormal"/>
    <w:uiPriority w:val="39"/>
    <w:rsid w:val="003E7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56A8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6A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enity-franc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AD0CBF-5581-6149-A355-2C42FB88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Grimonpont</dc:creator>
  <cp:keywords/>
  <dc:description/>
  <cp:lastModifiedBy>graziella Grimonpont</cp:lastModifiedBy>
  <cp:revision>2</cp:revision>
  <cp:lastPrinted>2019-11-20T17:11:00Z</cp:lastPrinted>
  <dcterms:created xsi:type="dcterms:W3CDTF">2019-11-20T17:11:00Z</dcterms:created>
  <dcterms:modified xsi:type="dcterms:W3CDTF">2019-11-20T17:11:00Z</dcterms:modified>
</cp:coreProperties>
</file>